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sz w:val="48"/>
          <w:szCs w:val="48"/>
        </w:rPr>
      </w:pPr>
    </w:p>
    <w:p>
      <w:pPr>
        <w:pStyle w:val="6"/>
        <w:jc w:val="center"/>
        <w:rPr>
          <w:sz w:val="48"/>
          <w:szCs w:val="48"/>
        </w:rPr>
      </w:pPr>
      <w:r>
        <w:rPr>
          <w:rFonts w:hint="eastAsia"/>
          <w:sz w:val="48"/>
          <w:szCs w:val="48"/>
        </w:rPr>
        <w:t>新田县纪律检查委员会单位2021年度部门决算公开</w:t>
      </w:r>
    </w:p>
    <w:p>
      <w:pPr>
        <w:pStyle w:val="6"/>
        <w:spacing w:line="540" w:lineRule="exact"/>
        <w:jc w:val="center"/>
        <w:rPr>
          <w:sz w:val="56"/>
          <w:szCs w:val="56"/>
        </w:rPr>
      </w:pPr>
    </w:p>
    <w:p>
      <w:pPr>
        <w:pStyle w:val="6"/>
        <w:spacing w:line="520" w:lineRule="exact"/>
        <w:jc w:val="center"/>
        <w:rPr>
          <w:sz w:val="44"/>
          <w:szCs w:val="44"/>
        </w:rPr>
      </w:pPr>
      <w:r>
        <w:rPr>
          <w:rFonts w:hint="eastAsia"/>
          <w:sz w:val="44"/>
          <w:szCs w:val="44"/>
        </w:rPr>
        <w:t>目  录</w:t>
      </w:r>
    </w:p>
    <w:p>
      <w:pPr>
        <w:pStyle w:val="6"/>
        <w:spacing w:line="520" w:lineRule="exact"/>
        <w:rPr>
          <w:rFonts w:ascii="仿宋_GB2312" w:hAnsi="仿宋_GB2312" w:cs="仿宋_GB2312"/>
          <w:b/>
          <w:sz w:val="28"/>
          <w:szCs w:val="28"/>
        </w:rPr>
      </w:pPr>
      <w:r>
        <w:rPr>
          <w:rFonts w:hint="eastAsia"/>
          <w:b/>
          <w:sz w:val="28"/>
          <w:szCs w:val="28"/>
        </w:rPr>
        <w:t>第一部分</w:t>
      </w:r>
      <w:r>
        <w:rPr>
          <w:rFonts w:hint="eastAsia" w:ascii="Times New Roman" w:hAnsi="Times New Roman" w:eastAsia="仿宋_GB2312" w:cs="Times New Roman"/>
          <w:szCs w:val="21"/>
        </w:rPr>
        <w:t>新田县纪委监察委员会</w:t>
      </w:r>
      <w:r>
        <w:rPr>
          <w:rFonts w:ascii="Times New Roman" w:hAnsi="Times New Roman" w:eastAsia="仿宋_GB2312" w:cs="Times New Roman"/>
          <w:szCs w:val="21"/>
        </w:rPr>
        <w:t xml:space="preserve"> </w:t>
      </w:r>
      <w:r>
        <w:rPr>
          <w:rFonts w:hint="eastAsia"/>
          <w:b/>
          <w:sz w:val="28"/>
          <w:szCs w:val="28"/>
        </w:rPr>
        <w:t>单位概况</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6"/>
        <w:spacing w:line="520" w:lineRule="exact"/>
        <w:rPr>
          <w:rFonts w:ascii="仿宋_GB2312" w:hAnsi="仿宋_GB2312" w:cs="仿宋_GB2312"/>
          <w:b/>
          <w:sz w:val="28"/>
          <w:szCs w:val="28"/>
        </w:rPr>
      </w:pPr>
      <w:r>
        <w:rPr>
          <w:rFonts w:hint="eastAsia" w:hAnsi="仿宋_GB2312"/>
          <w:b/>
          <w:sz w:val="28"/>
          <w:szCs w:val="28"/>
        </w:rPr>
        <w:t>第二部分2021年度部门决算表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6"/>
        <w:spacing w:line="520" w:lineRule="exact"/>
        <w:ind w:firstLine="840" w:firstLineChars="300"/>
        <w:rPr>
          <w:rFonts w:ascii="宋体" w:hAnsi="宋体" w:eastAsia="宋体" w:cs="宋体"/>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九、</w:t>
      </w:r>
      <w:r>
        <w:rPr>
          <w:rFonts w:hint="eastAsia" w:ascii="宋体" w:hAnsi="宋体" w:eastAsia="宋体" w:cs="宋体"/>
          <w:color w:val="333333"/>
          <w:sz w:val="28"/>
          <w:szCs w:val="28"/>
          <w:shd w:val="clear" w:color="auto" w:fill="FFFFFF"/>
        </w:rPr>
        <w:t>国有资本经营预算财政拨款支出决算表</w:t>
      </w:r>
    </w:p>
    <w:p>
      <w:pPr>
        <w:pStyle w:val="6"/>
        <w:spacing w:line="520" w:lineRule="exact"/>
        <w:rPr>
          <w:rFonts w:ascii="仿宋_GB2312" w:hAnsi="仿宋_GB2312" w:cs="仿宋_GB2312"/>
          <w:b/>
          <w:sz w:val="28"/>
          <w:szCs w:val="28"/>
        </w:rPr>
      </w:pPr>
      <w:r>
        <w:rPr>
          <w:rFonts w:hint="eastAsia" w:hAnsi="仿宋_GB2312"/>
          <w:b/>
          <w:sz w:val="28"/>
          <w:szCs w:val="28"/>
        </w:rPr>
        <w:t>第三部分2021年度部门决算情况说明</w:t>
      </w:r>
    </w:p>
    <w:p>
      <w:pPr>
        <w:pStyle w:val="3"/>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一、收入支出决算总体情况说明</w:t>
      </w:r>
    </w:p>
    <w:p>
      <w:pPr>
        <w:pStyle w:val="3"/>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二、收入决算情况说明</w:t>
      </w:r>
    </w:p>
    <w:p>
      <w:pPr>
        <w:pStyle w:val="3"/>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三、支出决算情况说明</w:t>
      </w:r>
    </w:p>
    <w:p>
      <w:pPr>
        <w:pStyle w:val="3"/>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四、财政拨款收入支出决算总体情况说明</w:t>
      </w:r>
    </w:p>
    <w:p>
      <w:pPr>
        <w:pStyle w:val="3"/>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五、一般公共预算财政拨款支出决算情况说明</w:t>
      </w:r>
    </w:p>
    <w:p>
      <w:pPr>
        <w:pStyle w:val="3"/>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六、一般公共预算财政拨款基本支出决算情况说明</w:t>
      </w:r>
    </w:p>
    <w:p>
      <w:pPr>
        <w:pStyle w:val="3"/>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七、一般公共预算财政拨款“三公”经费支出决算情况说明</w:t>
      </w:r>
    </w:p>
    <w:p>
      <w:pPr>
        <w:pStyle w:val="3"/>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八、政府性基金预算收入支出决算情况</w:t>
      </w:r>
    </w:p>
    <w:p>
      <w:pPr>
        <w:pStyle w:val="3"/>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九、国有资本经营预算财政拨款支出决算情况</w:t>
      </w:r>
    </w:p>
    <w:p>
      <w:pPr>
        <w:pStyle w:val="3"/>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十、机关运行经费支出说明</w:t>
      </w:r>
    </w:p>
    <w:p>
      <w:pPr>
        <w:pStyle w:val="3"/>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十一、一般性支出情况说明</w:t>
      </w:r>
    </w:p>
    <w:p>
      <w:pPr>
        <w:pStyle w:val="3"/>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十二、政府采购支出说明</w:t>
      </w:r>
    </w:p>
    <w:p>
      <w:pPr>
        <w:pStyle w:val="3"/>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十三、国有资产占用情况说明</w:t>
      </w:r>
    </w:p>
    <w:p>
      <w:pPr>
        <w:pStyle w:val="3"/>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rPr>
          <w:rFonts w:asciiTheme="minorEastAsia" w:hAnsiTheme="minorEastAsia" w:cstheme="minorEastAsia"/>
          <w:b/>
          <w:bCs/>
          <w:sz w:val="28"/>
          <w:szCs w:val="28"/>
        </w:rPr>
      </w:pPr>
      <w:r>
        <w:rPr>
          <w:rFonts w:hint="eastAsia" w:ascii="黑体" w:hAnsi="黑体" w:eastAsia="黑体" w:cs="黑体"/>
          <w:sz w:val="32"/>
          <w:szCs w:val="32"/>
        </w:rPr>
        <w:t>第一部分  中国共产党新田县纪律检查委员会单位概况</w:t>
      </w:r>
    </w:p>
    <w:p>
      <w:pPr>
        <w:snapToGrid w:val="0"/>
        <w:spacing w:line="550" w:lineRule="exact"/>
        <w:ind w:firstLine="643" w:firstLineChars="200"/>
        <w:rPr>
          <w:rFonts w:ascii="楷体" w:hAnsi="楷体" w:eastAsia="楷体" w:cs="楷体_GB2312"/>
          <w:b/>
          <w:sz w:val="32"/>
          <w:szCs w:val="32"/>
        </w:rPr>
      </w:pPr>
      <w:r>
        <w:rPr>
          <w:rFonts w:hint="eastAsia" w:ascii="楷体" w:hAnsi="楷体" w:eastAsia="楷体" w:cs="楷体_GB2312"/>
          <w:b/>
          <w:sz w:val="32"/>
          <w:szCs w:val="32"/>
        </w:rPr>
        <w:t>（一）基本情况</w:t>
      </w:r>
    </w:p>
    <w:p>
      <w:pPr>
        <w:snapToGrid w:val="0"/>
        <w:spacing w:line="55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1.主要职能</w:t>
      </w:r>
    </w:p>
    <w:p>
      <w:pPr>
        <w:autoSpaceDE w:val="0"/>
        <w:autoSpaceDN w:val="0"/>
        <w:adjustRightInd w:val="0"/>
        <w:spacing w:line="550" w:lineRule="exact"/>
        <w:ind w:firstLine="525"/>
        <w:rPr>
          <w:rFonts w:ascii="仿宋" w:hAnsi="仿宋" w:eastAsia="仿宋" w:cs="仿宋_GB2312"/>
          <w:kern w:val="0"/>
          <w:sz w:val="32"/>
          <w:szCs w:val="32"/>
        </w:rPr>
      </w:pPr>
      <w:r>
        <w:rPr>
          <w:rFonts w:hint="eastAsia" w:ascii="楷体" w:hAnsi="楷体" w:eastAsia="楷体" w:cs="仿宋_GB2312"/>
          <w:kern w:val="0"/>
          <w:sz w:val="32"/>
          <w:szCs w:val="32"/>
        </w:rPr>
        <w:t>（1）负责全县党的纪律检查工作。</w:t>
      </w:r>
      <w:r>
        <w:rPr>
          <w:rFonts w:hint="eastAsia" w:ascii="仿宋" w:hAnsi="仿宋" w:eastAsia="仿宋" w:cs="仿宋_GB2312"/>
          <w:kern w:val="0"/>
          <w:sz w:val="32"/>
          <w:szCs w:val="32"/>
        </w:rPr>
        <w:t>贯彻落实党中央、中央纪委、省纪委、市纪委和县委关于纪律检查工作的决定,维护党的章程和其他党内法规,检查党的路线方针政策和决议的执行情况,协助县委推进全面从严治党、加强党风建设和组织协调反腐败工作。</w:t>
      </w:r>
    </w:p>
    <w:p>
      <w:pPr>
        <w:autoSpaceDE w:val="0"/>
        <w:autoSpaceDN w:val="0"/>
        <w:adjustRightInd w:val="0"/>
        <w:spacing w:line="550" w:lineRule="exact"/>
        <w:ind w:firstLine="519"/>
        <w:rPr>
          <w:rFonts w:ascii="仿宋" w:hAnsi="仿宋" w:eastAsia="仿宋" w:cs="仿宋_GB2312"/>
          <w:kern w:val="0"/>
          <w:sz w:val="32"/>
          <w:szCs w:val="32"/>
        </w:rPr>
      </w:pPr>
      <w:r>
        <w:rPr>
          <w:rFonts w:hint="eastAsia" w:ascii="楷体" w:hAnsi="楷体" w:eastAsia="楷体" w:cs="仿宋_GB2312"/>
          <w:kern w:val="0"/>
          <w:sz w:val="32"/>
          <w:szCs w:val="32"/>
        </w:rPr>
        <w:t>（2）依照党的章程和其他党内法规履行监督、执纪、问责职责。</w:t>
      </w:r>
      <w:r>
        <w:rPr>
          <w:rFonts w:hint="eastAsia" w:ascii="仿宋" w:hAnsi="仿宋" w:eastAsia="仿宋" w:cs="仿宋_GB2312"/>
          <w:kern w:val="0"/>
          <w:sz w:val="32"/>
          <w:szCs w:val="32"/>
        </w:rPr>
        <w:t>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autoSpaceDE w:val="0"/>
        <w:autoSpaceDN w:val="0"/>
        <w:adjustRightInd w:val="0"/>
        <w:spacing w:line="55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楷体" w:hAnsi="楷体" w:eastAsia="楷体" w:cs="仿宋_GB2312"/>
          <w:kern w:val="0"/>
          <w:sz w:val="32"/>
          <w:szCs w:val="32"/>
        </w:rPr>
        <w:t xml:space="preserve">  （3）在县委领导下组织开展巡察工作。</w:t>
      </w:r>
    </w:p>
    <w:p>
      <w:pPr>
        <w:spacing w:line="550" w:lineRule="exact"/>
        <w:ind w:firstLine="480" w:firstLineChars="150"/>
        <w:rPr>
          <w:rFonts w:ascii="仿宋" w:hAnsi="仿宋" w:eastAsia="仿宋" w:cs="仿宋_GB2312"/>
          <w:kern w:val="0"/>
          <w:sz w:val="32"/>
          <w:szCs w:val="32"/>
        </w:rPr>
      </w:pPr>
      <w:r>
        <w:rPr>
          <w:rFonts w:hint="eastAsia" w:ascii="楷体" w:hAnsi="楷体" w:eastAsia="楷体" w:cs="仿宋_GB2312"/>
          <w:kern w:val="0"/>
          <w:sz w:val="32"/>
          <w:szCs w:val="32"/>
        </w:rPr>
        <w:t>（4）负责全县监察工作。</w:t>
      </w:r>
      <w:r>
        <w:rPr>
          <w:rFonts w:hint="eastAsia" w:ascii="仿宋" w:hAnsi="仿宋" w:eastAsia="仿宋" w:cs="仿宋_GB2312"/>
          <w:kern w:val="0"/>
          <w:sz w:val="32"/>
          <w:szCs w:val="32"/>
        </w:rPr>
        <w:t>贯彻落实党中央、中央纪委国家监委、省纪委省监委、市纪委市监委和县委关于监察工作的决定,维护宪法法律,依法对县委管理的行使公权力的公职人员进行监察,调查职务违法和职务犯罪,开展廉政建设和反腐败工作。</w:t>
      </w:r>
    </w:p>
    <w:p>
      <w:pPr>
        <w:autoSpaceDE w:val="0"/>
        <w:autoSpaceDN w:val="0"/>
        <w:adjustRightInd w:val="0"/>
        <w:spacing w:line="550" w:lineRule="exact"/>
        <w:rPr>
          <w:rFonts w:ascii="仿宋" w:hAnsi="仿宋" w:eastAsia="仿宋" w:cs="仿宋_GB2312"/>
          <w:kern w:val="0"/>
          <w:sz w:val="32"/>
          <w:szCs w:val="32"/>
        </w:rPr>
      </w:pPr>
      <w:r>
        <w:rPr>
          <w:rFonts w:hint="eastAsia" w:ascii="仿宋_GB2312" w:hAnsi="仿宋_GB2312" w:eastAsia="仿宋_GB2312" w:cs="仿宋_GB2312"/>
          <w:kern w:val="0"/>
          <w:sz w:val="32"/>
          <w:szCs w:val="32"/>
        </w:rPr>
        <w:t xml:space="preserve">  </w:t>
      </w:r>
      <w:r>
        <w:rPr>
          <w:rFonts w:hint="eastAsia" w:ascii="楷体" w:hAnsi="楷体" w:eastAsia="楷体" w:cs="仿宋_GB2312"/>
          <w:kern w:val="0"/>
          <w:sz w:val="32"/>
          <w:szCs w:val="32"/>
        </w:rPr>
        <w:t xml:space="preserve"> （5）依照法律规定履行监督、调查、处置职责。</w:t>
      </w:r>
      <w:r>
        <w:rPr>
          <w:rFonts w:hint="eastAsia" w:ascii="仿宋" w:hAnsi="仿宋" w:eastAsia="仿宋" w:cs="仿宋_GB2312"/>
          <w:kern w:val="0"/>
          <w:sz w:val="32"/>
          <w:szCs w:val="32"/>
        </w:rPr>
        <w:t>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autoSpaceDE w:val="0"/>
        <w:autoSpaceDN w:val="0"/>
        <w:adjustRightInd w:val="0"/>
        <w:spacing w:line="550" w:lineRule="exact"/>
        <w:rPr>
          <w:rFonts w:ascii="楷体" w:hAnsi="楷体" w:eastAsia="楷体" w:cs="仿宋_GB2312"/>
          <w:kern w:val="0"/>
          <w:sz w:val="32"/>
          <w:szCs w:val="32"/>
        </w:rPr>
      </w:pPr>
      <w:r>
        <w:rPr>
          <w:rFonts w:hint="eastAsia" w:ascii="楷体" w:hAnsi="楷体" w:eastAsia="楷体" w:cs="仿宋_GB2312"/>
          <w:kern w:val="0"/>
          <w:sz w:val="32"/>
          <w:szCs w:val="32"/>
        </w:rPr>
        <w:t xml:space="preserve">   （6）负责组织协调全县全面从严治党、党风廉政建设和反腐败宣传教育工作。</w:t>
      </w:r>
    </w:p>
    <w:p>
      <w:pPr>
        <w:autoSpaceDE w:val="0"/>
        <w:autoSpaceDN w:val="0"/>
        <w:adjustRightInd w:val="0"/>
        <w:spacing w:line="550" w:lineRule="exact"/>
        <w:rPr>
          <w:rFonts w:ascii="仿宋_GB2312" w:hAnsi="仿宋_GB2312" w:eastAsia="仿宋_GB2312" w:cs="仿宋_GB2312"/>
          <w:kern w:val="0"/>
          <w:sz w:val="32"/>
          <w:szCs w:val="32"/>
        </w:rPr>
      </w:pPr>
      <w:r>
        <w:rPr>
          <w:rFonts w:hint="eastAsia" w:ascii="楷体" w:hAnsi="楷体" w:eastAsia="楷体" w:cs="仿宋_GB2312"/>
          <w:kern w:val="0"/>
          <w:sz w:val="32"/>
          <w:szCs w:val="32"/>
        </w:rPr>
        <w:t xml:space="preserve">   （7）</w:t>
      </w:r>
      <w:r>
        <w:rPr>
          <w:rFonts w:hint="eastAsia" w:ascii="仿宋" w:hAnsi="仿宋" w:eastAsia="仿宋" w:cs="仿宋_GB2312"/>
          <w:kern w:val="0"/>
          <w:sz w:val="32"/>
          <w:szCs w:val="32"/>
        </w:rPr>
        <w:t>负责综合分析全县全面从严治党、党风廉政建设和反腐败工作情况,对纪检监察工作重要理论及实践问题进行调查研究;起草制定或者修改本县纪检监察制度规定,参与起草制定本县相关规范性文件。</w:t>
      </w:r>
    </w:p>
    <w:p>
      <w:pPr>
        <w:autoSpaceDE w:val="0"/>
        <w:autoSpaceDN w:val="0"/>
        <w:adjustRightInd w:val="0"/>
        <w:spacing w:line="550" w:lineRule="exact"/>
        <w:ind w:firstLine="525"/>
        <w:rPr>
          <w:rFonts w:ascii="仿宋" w:hAnsi="仿宋" w:eastAsia="仿宋" w:cs="仿宋_GB2312"/>
          <w:kern w:val="0"/>
          <w:sz w:val="32"/>
          <w:szCs w:val="32"/>
        </w:rPr>
      </w:pPr>
      <w:r>
        <w:rPr>
          <w:rFonts w:hint="eastAsia" w:ascii="楷体" w:hAnsi="楷体" w:eastAsia="楷体" w:cs="仿宋_GB2312"/>
          <w:kern w:val="0"/>
          <w:sz w:val="32"/>
          <w:szCs w:val="32"/>
        </w:rPr>
        <w:t>（8）</w:t>
      </w:r>
      <w:r>
        <w:rPr>
          <w:rFonts w:hint="eastAsia" w:ascii="仿宋" w:hAnsi="仿宋" w:eastAsia="仿宋" w:cs="仿宋_GB2312"/>
          <w:kern w:val="0"/>
          <w:sz w:val="32"/>
          <w:szCs w:val="32"/>
        </w:rPr>
        <w:t>负责协调落实上级纪委监委交办的反腐败国际交流、合作等方面事宜;加强对全县反腐败国际追逃追赃和防逃工作的组织协调,督促有关单位做好相关工作。</w:t>
      </w:r>
    </w:p>
    <w:p>
      <w:pPr>
        <w:autoSpaceDE w:val="0"/>
        <w:autoSpaceDN w:val="0"/>
        <w:adjustRightInd w:val="0"/>
        <w:spacing w:line="550" w:lineRule="exact"/>
        <w:ind w:firstLine="480" w:firstLineChars="150"/>
        <w:rPr>
          <w:rFonts w:ascii="仿宋_GB2312" w:hAnsi="仿宋_GB2312" w:eastAsia="仿宋_GB2312" w:cs="仿宋_GB2312"/>
          <w:kern w:val="0"/>
          <w:sz w:val="32"/>
          <w:szCs w:val="32"/>
        </w:rPr>
      </w:pPr>
      <w:r>
        <w:rPr>
          <w:rFonts w:hint="eastAsia" w:ascii="楷体" w:hAnsi="楷体" w:eastAsia="楷体" w:cs="仿宋_GB2312"/>
          <w:kern w:val="0"/>
          <w:sz w:val="32"/>
          <w:szCs w:val="32"/>
        </w:rPr>
        <w:t>（9）</w:t>
      </w:r>
      <w:r>
        <w:rPr>
          <w:rFonts w:hint="eastAsia" w:ascii="仿宋" w:hAnsi="仿宋" w:eastAsia="仿宋" w:cs="仿宋_GB2312"/>
          <w:kern w:val="0"/>
          <w:sz w:val="32"/>
          <w:szCs w:val="32"/>
        </w:rPr>
        <w:t>根据干部管理权限,负责全县纪检监察系统领导班子建设、干部队伍建设和组织建设的综合规划、政策研究、制度建设和业务指导;会同有关方面做好县纪委县监委派驻机构、乡镇纪检监察机关、县管企业纪检监察机构领导班子建设有关工作;组织和指导全县纪检监察系统干部教育培训工作等。</w:t>
      </w:r>
    </w:p>
    <w:p>
      <w:pPr>
        <w:autoSpaceDE w:val="0"/>
        <w:autoSpaceDN w:val="0"/>
        <w:adjustRightInd w:val="0"/>
        <w:spacing w:line="550" w:lineRule="exact"/>
        <w:rPr>
          <w:rFonts w:asciiTheme="minorEastAsia" w:hAnsiTheme="minorEastAsia" w:cstheme="minorEastAsia"/>
          <w:sz w:val="28"/>
          <w:szCs w:val="28"/>
        </w:rPr>
      </w:pPr>
      <w:r>
        <w:rPr>
          <w:rFonts w:hint="eastAsia" w:ascii="仿宋_GB2312" w:hAnsi="仿宋_GB2312" w:eastAsia="仿宋_GB2312" w:cs="仿宋_GB2312"/>
          <w:kern w:val="0"/>
          <w:sz w:val="32"/>
          <w:szCs w:val="32"/>
        </w:rPr>
        <w:t xml:space="preserve">  </w:t>
      </w:r>
      <w:r>
        <w:rPr>
          <w:rFonts w:hint="eastAsia" w:ascii="楷体" w:hAnsi="楷体" w:eastAsia="楷体" w:cs="仿宋_GB2312"/>
          <w:kern w:val="0"/>
          <w:sz w:val="32"/>
          <w:szCs w:val="32"/>
        </w:rPr>
        <w:t xml:space="preserve"> （10）完成上级纪委监委和县委交办的其他任务。</w:t>
      </w:r>
    </w:p>
    <w:p>
      <w:pPr>
        <w:widowControl/>
        <w:spacing w:line="60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二、机构设置及决算单位构成</w:t>
      </w:r>
    </w:p>
    <w:p>
      <w:pPr>
        <w:widowControl/>
        <w:spacing w:line="600" w:lineRule="exact"/>
        <w:rPr>
          <w:rFonts w:asciiTheme="minorEastAsia" w:hAnsiTheme="minorEastAsia" w:cstheme="minorEastAsia"/>
          <w:bCs/>
          <w:kern w:val="0"/>
          <w:sz w:val="28"/>
          <w:szCs w:val="28"/>
        </w:rPr>
      </w:pPr>
      <w:r>
        <w:rPr>
          <w:rFonts w:hint="eastAsia" w:asciiTheme="minorEastAsia" w:hAnsiTheme="minorEastAsia" w:cstheme="minorEastAsia"/>
          <w:bCs/>
          <w:kern w:val="0"/>
          <w:sz w:val="28"/>
          <w:szCs w:val="28"/>
        </w:rPr>
        <w:t>（一）内设机构设置。中国共产党新田县纪律检查委员会单位内设机构包括：</w:t>
      </w:r>
    </w:p>
    <w:p>
      <w:pPr>
        <w:spacing w:line="55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内设部室14个，分别是：办公室（含反腐倡廉信息中心）、组织部、宣传部、信访室、案件监督管理室、党风政风监督室、第一纪检监察室、第二纪检监察室、第三纪检监察室、第四纪检监察室、第五纪检监察室、第六纪检监察室、案件审理室、干部监督室；派驻纪检监察组13个，分别是：派驻县委办纪检监察组、派驻政府办纪检监察组、派驻组织部纪检监察组、派驻宣传部纪检监察组、派驻农业农村局纪检监察组、派驻政法委纪检监察组、派驻自然资源局纪检监察组、派驻发改局纪检监察组、派驻卫健局纪检监察组、派驻教育局纪检监察组、派驻公安局纪检监察组、派驻检察院纪检监察组、派驻法院纪检监察组。本部门所属的内设机构以及13个派驻纪检监察组列入了本部门决算。</w:t>
      </w:r>
    </w:p>
    <w:p>
      <w:pPr>
        <w:widowControl/>
        <w:spacing w:line="600" w:lineRule="exact"/>
        <w:rPr>
          <w:rFonts w:asciiTheme="minorEastAsia" w:hAnsiTheme="minorEastAsia" w:cstheme="minorEastAsia"/>
          <w:bCs/>
          <w:kern w:val="0"/>
          <w:sz w:val="28"/>
          <w:szCs w:val="28"/>
        </w:rPr>
      </w:pPr>
      <w:r>
        <w:rPr>
          <w:rFonts w:hint="eastAsia" w:asciiTheme="minorEastAsia" w:hAnsiTheme="minorEastAsia" w:cstheme="minorEastAsia"/>
          <w:bCs/>
          <w:kern w:val="0"/>
          <w:sz w:val="28"/>
          <w:szCs w:val="28"/>
        </w:rPr>
        <w:t>（二）决算单位构成。中国共产党新田县纪律检查委员会单位2021年部门决算汇总公开单位构成包括：</w:t>
      </w:r>
      <w:r>
        <w:rPr>
          <w:rFonts w:hint="eastAsia" w:ascii="仿宋" w:hAnsi="仿宋" w:eastAsia="仿宋" w:cs="仿宋_GB2312"/>
          <w:sz w:val="32"/>
          <w:szCs w:val="32"/>
        </w:rPr>
        <w:t>中共新田县纪律检查委员会新田县监察委员会</w:t>
      </w:r>
      <w:r>
        <w:rPr>
          <w:rFonts w:hint="eastAsia" w:asciiTheme="minorEastAsia" w:hAnsiTheme="minorEastAsia" w:cstheme="minorEastAsia"/>
          <w:bCs/>
          <w:kern w:val="0"/>
          <w:sz w:val="28"/>
          <w:szCs w:val="28"/>
        </w:rPr>
        <w:t>单位本级</w:t>
      </w:r>
      <w:r>
        <w:rPr>
          <w:rFonts w:hint="eastAsia" w:ascii="仿宋" w:hAnsi="仿宋" w:eastAsia="仿宋" w:cs="仿宋_GB2312"/>
          <w:sz w:val="32"/>
          <w:szCs w:val="32"/>
        </w:rPr>
        <w:t>无二级预算单位。</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第二部分 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部门：新田县纪委监察委员会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4"/>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1454.63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1454.63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1915.42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460.78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1915.42</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新田县纪委监察委员会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1454.63</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1454.63</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jc w:val="left"/>
              <w:rPr>
                <w:rFonts w:ascii="宋体" w:hAnsi="宋体" w:eastAsia="宋体" w:cs="Arial"/>
                <w:color w:val="000000"/>
                <w:sz w:val="22"/>
              </w:rPr>
            </w:pPr>
            <w:r>
              <w:rPr>
                <w:rFonts w:hint="eastAsia" w:cs="Arial"/>
                <w:color w:val="000000"/>
                <w:sz w:val="22"/>
              </w:rPr>
              <w:t>201</w:t>
            </w:r>
          </w:p>
          <w:p>
            <w:pPr>
              <w:widowControl/>
              <w:jc w:val="left"/>
              <w:rPr>
                <w:rFonts w:ascii="Times New Roman" w:hAnsi="Times New Roman" w:eastAsia="仿宋_GB2312" w:cs="Times New Roman"/>
                <w:kern w:val="0"/>
                <w:szCs w:val="21"/>
              </w:rPr>
            </w:pP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jc w:val="left"/>
              <w:rPr>
                <w:rFonts w:ascii="宋体" w:hAnsi="宋体" w:eastAsia="宋体" w:cs="Arial"/>
                <w:color w:val="000000"/>
                <w:sz w:val="22"/>
              </w:rPr>
            </w:pPr>
            <w:r>
              <w:rPr>
                <w:rFonts w:hint="eastAsia" w:cs="Arial"/>
                <w:color w:val="000000"/>
                <w:sz w:val="22"/>
              </w:rPr>
              <w:t>一般公共服务支出</w:t>
            </w:r>
          </w:p>
          <w:p>
            <w:pPr>
              <w:widowControl/>
              <w:jc w:val="lef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1454.63</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1454.63</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20111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jc w:val="left"/>
              <w:rPr>
                <w:rFonts w:ascii="宋体" w:hAnsi="宋体" w:eastAsia="宋体" w:cs="Arial"/>
                <w:color w:val="000000"/>
                <w:sz w:val="22"/>
              </w:rPr>
            </w:pPr>
            <w:r>
              <w:rPr>
                <w:rFonts w:hint="eastAsia" w:cs="Arial"/>
                <w:color w:val="000000"/>
                <w:sz w:val="22"/>
              </w:rPr>
              <w:t>纪检监察事务</w:t>
            </w:r>
          </w:p>
          <w:p>
            <w:pPr>
              <w:jc w:val="left"/>
              <w:rPr>
                <w:rFonts w:ascii="宋体" w:hAnsi="宋体" w:eastAsia="宋体" w:cs="Arial"/>
                <w:color w:val="000000"/>
                <w:sz w:val="22"/>
              </w:rPr>
            </w:pPr>
          </w:p>
          <w:p>
            <w:pPr>
              <w:widowControl/>
              <w:jc w:val="lef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1454.63</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1454.63</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jc w:val="left"/>
              <w:rPr>
                <w:rFonts w:ascii="宋体" w:hAnsi="宋体" w:eastAsia="宋体" w:cs="Arial"/>
                <w:color w:val="000000"/>
                <w:sz w:val="22"/>
              </w:rPr>
            </w:pPr>
            <w:r>
              <w:rPr>
                <w:rFonts w:hint="eastAsia" w:cs="Arial"/>
                <w:color w:val="000000"/>
                <w:sz w:val="22"/>
              </w:rPr>
              <w:t>2011101</w:t>
            </w:r>
          </w:p>
          <w:p>
            <w:pPr>
              <w:widowControl/>
              <w:jc w:val="left"/>
              <w:rPr>
                <w:rFonts w:ascii="Times New Roman" w:hAnsi="Times New Roman" w:eastAsia="仿宋_GB2312" w:cs="Times New Roman"/>
                <w:kern w:val="0"/>
                <w:szCs w:val="21"/>
              </w:rPr>
            </w:pP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jc w:val="left"/>
              <w:rPr>
                <w:rFonts w:ascii="宋体" w:hAnsi="宋体" w:eastAsia="宋体" w:cs="Arial"/>
                <w:color w:val="000000"/>
                <w:sz w:val="22"/>
              </w:rPr>
            </w:pPr>
            <w:r>
              <w:rPr>
                <w:rFonts w:hint="eastAsia" w:cs="Arial"/>
                <w:color w:val="000000"/>
                <w:sz w:val="22"/>
              </w:rPr>
              <w:t xml:space="preserve">  行政运行</w:t>
            </w:r>
          </w:p>
          <w:p>
            <w:pPr>
              <w:widowControl/>
              <w:jc w:val="lef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1454.63</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1454.63</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新田县纪委监察委员会</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4"/>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一般公共服务支出</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20111</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纪检监察事务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2011101</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新田县纪委监察委员会</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4"/>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1454.63</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1915.42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1454.63</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460.78</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460.78</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1915.42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新田县纪委监察委员会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4"/>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1915.42</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1915.42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1915.42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20111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纪检监察事务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1915.42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1915.42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2011101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1915.42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1915.42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ind w:left="14280" w:hanging="14280" w:hangingChars="68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新田县纪委监察委员会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5900" w:type="dxa"/>
        <w:tblInd w:w="93" w:type="dxa"/>
        <w:tblLayout w:type="fixed"/>
        <w:tblCellMar>
          <w:top w:w="0" w:type="dxa"/>
          <w:left w:w="108" w:type="dxa"/>
          <w:bottom w:w="0" w:type="dxa"/>
          <w:right w:w="108" w:type="dxa"/>
        </w:tblCellMar>
      </w:tblPr>
      <w:tblGrid>
        <w:gridCol w:w="1149"/>
        <w:gridCol w:w="2703"/>
        <w:gridCol w:w="1459"/>
        <w:gridCol w:w="1110"/>
        <w:gridCol w:w="1877"/>
        <w:gridCol w:w="1276"/>
        <w:gridCol w:w="1076"/>
        <w:gridCol w:w="3520"/>
        <w:gridCol w:w="1730"/>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70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45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187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5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73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70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1101.9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187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276"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774.4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52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376.1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276"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387.97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188.1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276"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27.95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169.5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276"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52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730"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1.41</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25.78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276"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74.4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276"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730"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1.07</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169.4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276"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0.21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28.6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276"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0.33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51.05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276"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0.25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276"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730"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0.33</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2.33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276"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10.93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459"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276"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459"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276"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4.68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16.21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276"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70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37.68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276"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5.00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459"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276"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4.4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459"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276"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7.41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459"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276"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16.33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276"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4.96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276"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459"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276"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5.36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52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10.3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276"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459"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18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276"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66,08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52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459"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187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276"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52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459"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187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276"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color w:val="000000"/>
                <w:kern w:val="0"/>
                <w:sz w:val="22"/>
              </w:rPr>
              <w:t>27.94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52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703"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459" w:type="dxa"/>
            <w:tcBorders>
              <w:top w:val="single" w:color="auto" w:sz="8" w:space="0"/>
              <w:left w:val="nil"/>
              <w:bottom w:val="single" w:color="auto" w:sz="8" w:space="0"/>
              <w:right w:val="single" w:color="auto" w:sz="8" w:space="0"/>
            </w:tcBorders>
            <w:shd w:val="clear" w:color="auto" w:fill="auto"/>
            <w:noWrap/>
            <w:vAlign w:val="center"/>
          </w:tcPr>
          <w:p>
            <w:pPr>
              <w:jc w:val="right"/>
              <w:rPr>
                <w:rFonts w:ascii="Times New Roman" w:hAnsi="Times New Roman" w:eastAsia="宋体" w:cs="Times New Roman"/>
                <w:color w:val="000000"/>
                <w:kern w:val="0"/>
                <w:sz w:val="18"/>
                <w:szCs w:val="18"/>
              </w:rPr>
            </w:pPr>
            <w:r>
              <w:rPr>
                <w:rFonts w:hint="eastAsia" w:ascii="宋体" w:hAnsi="宋体" w:eastAsia="宋体" w:cs="宋体"/>
                <w:color w:val="000000"/>
                <w:kern w:val="0"/>
                <w:sz w:val="22"/>
              </w:rPr>
              <w:t>6.08</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187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276" w:type="dxa"/>
            <w:tcBorders>
              <w:top w:val="single" w:color="auto" w:sz="8" w:space="0"/>
              <w:left w:val="nil"/>
              <w:bottom w:val="single" w:color="auto" w:sz="8" w:space="0"/>
              <w:right w:val="single" w:color="auto" w:sz="8" w:space="0"/>
            </w:tcBorders>
            <w:shd w:val="clear" w:color="auto" w:fill="auto"/>
            <w:noWrap/>
            <w:vAlign w:val="center"/>
          </w:tcPr>
          <w:p>
            <w:pPr>
              <w:widowControl/>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color w:val="000000"/>
                <w:kern w:val="0"/>
                <w:sz w:val="22"/>
              </w:rPr>
              <w:t>15.66</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52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30" w:type="dxa"/>
            <w:tcBorders>
              <w:top w:val="single" w:color="auto" w:sz="8" w:space="0"/>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187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276"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52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70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459"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187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276"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color w:val="000000"/>
                <w:kern w:val="0"/>
                <w:sz w:val="22"/>
              </w:rPr>
              <w:t>20.91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52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30"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3852"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459"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color w:val="000000"/>
                <w:kern w:val="0"/>
                <w:sz w:val="22"/>
              </w:rPr>
              <w:t>1139.59</w:t>
            </w:r>
          </w:p>
        </w:tc>
        <w:tc>
          <w:tcPr>
            <w:tcW w:w="8859"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73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22"/>
              </w:rPr>
              <w:t>775.83</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left="13965" w:hanging="13965" w:hangingChars="66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新田县纪委监察委员会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28.5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28.5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14.5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35.36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27.94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27.94</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7.41</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新田县纪委监察委员会</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color w:val="000000"/>
          <w:kern w:val="0"/>
          <w:szCs w:val="21"/>
        </w:rPr>
        <w:t>新田县纪委监察委员会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ind w:firstLine="3795" w:firstLineChars="1050"/>
        <w:rPr>
          <w:rFonts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国有资本经营预算财政拨款支出决算表</w:t>
      </w:r>
    </w:p>
    <w:tbl>
      <w:tblPr>
        <w:tblStyle w:val="4"/>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494"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：新田县纪委监察委员会</w:t>
            </w:r>
            <w:r>
              <w:rPr>
                <w:rFonts w:ascii="Times New Roman" w:hAnsi="Times New Roman" w:eastAsia="仿宋_GB2312" w:cs="Times New Roman"/>
                <w:color w:val="000000"/>
                <w:kern w:val="0"/>
                <w:szCs w:val="21"/>
              </w:rPr>
              <w:t xml:space="preserve">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tbl>
      <w:tblPr>
        <w:tblStyle w:val="4"/>
        <w:tblW w:w="8715" w:type="dxa"/>
        <w:tblInd w:w="0" w:type="dxa"/>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p>
        </w:tc>
      </w:tr>
    </w:tbl>
    <w:p>
      <w:r>
        <w:rPr>
          <w:rFonts w:hint="eastAsia"/>
        </w:rPr>
        <w:t xml:space="preserve">     </w:t>
      </w:r>
    </w:p>
    <w:p>
      <w:pPr>
        <w:widowControl/>
        <w:jc w:val="left"/>
        <w:rPr>
          <w:rFonts w:ascii="仿宋" w:hAnsi="仿宋" w:eastAsia="仿宋" w:cs="仿宋"/>
          <w:kern w:val="0"/>
          <w:szCs w:val="21"/>
        </w:rPr>
      </w:pPr>
      <w:r>
        <w:rPr>
          <w:rFonts w:hint="eastAsia"/>
        </w:rPr>
        <w:tab/>
      </w:r>
      <w:r>
        <w:rPr>
          <w:rFonts w:hint="eastAsia" w:ascii="仿宋" w:hAnsi="仿宋" w:eastAsia="仿宋" w:cs="仿宋"/>
          <w:kern w:val="0"/>
          <w:szCs w:val="21"/>
        </w:rPr>
        <w:t>(若本单位无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,请说明：</w:t>
      </w:r>
      <w:r>
        <w:rPr>
          <w:rFonts w:hint="eastAsia" w:ascii="Times New Roman" w:hAnsi="Times New Roman" w:eastAsia="仿宋_GB2312" w:cs="Times New Roman"/>
          <w:color w:val="000000"/>
          <w:kern w:val="0"/>
          <w:szCs w:val="21"/>
        </w:rPr>
        <w:t>新田县纪委监察委员会</w:t>
      </w:r>
      <w:r>
        <w:rPr>
          <w:rFonts w:ascii="Times New Roman" w:hAnsi="Times New Roman" w:eastAsia="仿宋_GB2312" w:cs="Times New Roman"/>
          <w:color w:val="000000"/>
          <w:kern w:val="0"/>
          <w:szCs w:val="21"/>
        </w:rPr>
        <w:t xml:space="preserve"> </w:t>
      </w:r>
      <w:r>
        <w:rPr>
          <w:rFonts w:hint="eastAsia" w:ascii="仿宋" w:hAnsi="仿宋" w:eastAsia="仿宋" w:cs="仿宋"/>
          <w:kern w:val="0"/>
          <w:szCs w:val="21"/>
        </w:rPr>
        <w:t>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，故本表无数据)。</w:t>
      </w:r>
    </w:p>
    <w:p>
      <w:pPr>
        <w:tabs>
          <w:tab w:val="left" w:pos="1460"/>
        </w:tabs>
        <w:jc w:val="left"/>
        <w:rPr>
          <w:szCs w:val="21"/>
        </w:rPr>
        <w:sectPr>
          <w:pgSz w:w="16838" w:h="11906" w:orient="landscape"/>
          <w:pgMar w:top="720" w:right="720" w:bottom="720" w:left="720" w:header="851" w:footer="992" w:gutter="0"/>
          <w:cols w:space="425" w:num="1"/>
          <w:docGrid w:type="lines" w:linePitch="312" w:charSpace="0"/>
        </w:sectPr>
      </w:pPr>
    </w:p>
    <w:p>
      <w:pPr>
        <w:pStyle w:val="6"/>
        <w:rPr>
          <w:sz w:val="32"/>
          <w:szCs w:val="32"/>
        </w:rPr>
      </w:pPr>
      <w:r>
        <w:rPr>
          <w:rFonts w:hint="eastAsia"/>
          <w:sz w:val="32"/>
          <w:szCs w:val="32"/>
        </w:rPr>
        <w:t>第三部分 2021年度部门决算情况说明</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6"/>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2021年度收入总计1454.63万元、支出总计1915.42万元。上年度结转结余460.78万元，与2020年相比，支出减少了305.07万元，减少13.7%，主要是因为财政“省吃俭用”节约开支。</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6"/>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本年收入合计1454.63元，其中：财政拨款收入1454.63万元，占100%；上级补助收入0万元，占0%；事业收入0万元，占0%；经营收入0万元，占0%；附属单位上缴收入0万元，占0%；其他收入0万元，占0%。</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6"/>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本年支出合计1915.42万元，其中：基本支出1915.42万元，占100%；项目支出0万元，占0%；上缴上级支出0万元，占0%；经营支出0万元，占0%；对附属单位补助支出0万元，占0%。</w:t>
      </w:r>
    </w:p>
    <w:p>
      <w:pPr>
        <w:pStyle w:val="6"/>
        <w:numPr>
          <w:ilvl w:val="0"/>
          <w:numId w:val="1"/>
        </w:num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财政拨款收入支出决算总体情况说明</w:t>
      </w:r>
    </w:p>
    <w:p>
      <w:pPr>
        <w:pStyle w:val="6"/>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2021年度财政拨款收入总计1454.63万元、支出总计1915.42万元，上年度结转结余460.78万元，与2020年相比，支出减少了305.07万元，减少13.7%，主要是因为财政“省吃俭用”节约开支。</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五、一般公共预算财政拨款支出决算情况说明</w:t>
      </w:r>
    </w:p>
    <w:p>
      <w:pPr>
        <w:pStyle w:val="6"/>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6"/>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2021年度财政拨款支出1915.42万元，占本年支出合计的100%，与2020年相比，财政拨款支出减少305.07万元，减少3.7%，主要是因为财政“省吃俭用”节约开支。</w:t>
      </w:r>
    </w:p>
    <w:p>
      <w:pPr>
        <w:pStyle w:val="6"/>
        <w:ind w:firstLine="420" w:firstLineChars="1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6"/>
        <w:ind w:firstLine="560" w:firstLineChars="200"/>
        <w:rPr>
          <w:rFonts w:ascii="宋体" w:hAnsi="宋体" w:eastAsia="宋体" w:cs="宋体"/>
          <w:sz w:val="28"/>
          <w:szCs w:val="28"/>
        </w:rPr>
      </w:pPr>
      <w:r>
        <w:rPr>
          <w:rFonts w:hint="eastAsia" w:asciiTheme="minorEastAsia" w:hAnsiTheme="minorEastAsia" w:eastAsiaTheme="minorEastAsia" w:cstheme="minorEastAsia"/>
          <w:sz w:val="28"/>
          <w:szCs w:val="28"/>
        </w:rPr>
        <w:t>2021年度财政拨款支出1915.42万元，主要用于以下方面：一般公共服务（类）支出1915.42万元，占100%；教育（类）支0万元，占0</w:t>
      </w:r>
      <w:r>
        <w:rPr>
          <w:rFonts w:hint="eastAsia" w:ascii="宋体" w:hAnsi="宋体" w:eastAsia="宋体" w:cs="宋体"/>
          <w:sz w:val="28"/>
          <w:szCs w:val="28"/>
        </w:rPr>
        <w:t>%;包含基本工资、津贴补贴、奖金、伙食补助、绩效工资等工资福利支出；办公费、印刷费、咨询费、办案支出等商品和服务支出，以及对个人和家庭补助类等。</w:t>
      </w:r>
    </w:p>
    <w:p>
      <w:pPr>
        <w:pStyle w:val="6"/>
        <w:ind w:firstLine="700" w:firstLineChars="2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6"/>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2021年度财政拨款支出年初预算数为1433.29万元，支出决算数为1915.42万元，完成年初预算的133.6%，其中：</w:t>
      </w:r>
    </w:p>
    <w:p>
      <w:pPr>
        <w:pStyle w:val="6"/>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1、一般公共服务纪检监察事务行政运行基本支出。</w:t>
      </w:r>
    </w:p>
    <w:p>
      <w:pPr>
        <w:pStyle w:val="6"/>
        <w:ind w:firstLine="700" w:firstLineChars="250"/>
        <w:rPr>
          <w:rFonts w:ascii="宋体" w:hAnsi="宋体" w:eastAsia="宋体" w:cs="宋体"/>
          <w:sz w:val="28"/>
          <w:szCs w:val="28"/>
        </w:rPr>
      </w:pPr>
      <w:r>
        <w:rPr>
          <w:rFonts w:hint="eastAsia" w:asciiTheme="minorEastAsia" w:hAnsiTheme="minorEastAsia" w:eastAsiaTheme="minorEastAsia" w:cstheme="minorEastAsia"/>
          <w:sz w:val="28"/>
          <w:szCs w:val="28"/>
        </w:rPr>
        <w:t>年初预算为1433.29万元，支出决算为1915.42万元，完成年初预算的133.6%，决算数大于年初预算数的主要原因是：</w:t>
      </w:r>
      <w:r>
        <w:rPr>
          <w:rFonts w:hint="eastAsia" w:ascii="宋体" w:hAnsi="宋体" w:eastAsia="宋体" w:cs="宋体"/>
          <w:sz w:val="28"/>
          <w:szCs w:val="28"/>
          <w:shd w:val="clear" w:color="auto" w:fill="F6F6F6"/>
        </w:rPr>
        <w:t>新增了人员经费和上年度未纳入预算，而本年度纳入预算拨款范围内的单位部分“五险一金”、办公经费等</w:t>
      </w:r>
      <w:r>
        <w:rPr>
          <w:rFonts w:hint="eastAsia" w:ascii="宋体" w:hAnsi="宋体" w:eastAsia="宋体" w:cs="宋体"/>
          <w:sz w:val="28"/>
          <w:szCs w:val="28"/>
        </w:rPr>
        <w:t>。</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6"/>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基本支出1915.42万元，其中：人员经费1139.59万元，占基本支出的59.5%,主要包括基本工资、津贴补贴、奖金、伙食补助费、机关事业单位基本养老保险缴费、职业年金、医疗保险、对个人和家庭的补助等；公用经费775.83万元，占基本支出的40.5%，主要包括办公费、印刷费、咨询费、手续费、差旅费、公务用车维护费、接待费、其他商品服务支出等。</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6"/>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“三公”经费财政拨款支出预算为43万元，支出决算为35.36万元，完成预算的82.2%，其中：</w:t>
      </w:r>
    </w:p>
    <w:p>
      <w:pPr>
        <w:pStyle w:val="6"/>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因公出国(境)费支出预算为0万元，支出决算为 0万元，因预算数为 0，无法计算预算完成百分比。决算数与预算数一致，与上年相比持平，原因是上年及本年均无出国出境情况，无相关费用支出</w:t>
      </w:r>
      <w:bookmarkStart w:id="2" w:name="_GoBack"/>
      <w:bookmarkEnd w:id="2"/>
      <w:r>
        <w:rPr>
          <w:rFonts w:hint="eastAsia" w:asciiTheme="minorEastAsia" w:hAnsiTheme="minorEastAsia" w:eastAsiaTheme="minorEastAsia" w:cstheme="minorEastAsia"/>
          <w:sz w:val="28"/>
          <w:szCs w:val="28"/>
        </w:rPr>
        <w:t>。</w:t>
      </w:r>
    </w:p>
    <w:p>
      <w:pPr>
        <w:widowControl/>
        <w:spacing w:line="600" w:lineRule="atLeast"/>
        <w:ind w:firstLine="660"/>
        <w:jc w:val="left"/>
        <w:rPr>
          <w:rFonts w:asciiTheme="minorEastAsia" w:hAnsiTheme="minorEastAsia" w:cstheme="minorEastAsia"/>
          <w:sz w:val="28"/>
          <w:szCs w:val="28"/>
        </w:rPr>
      </w:pPr>
      <w:r>
        <w:rPr>
          <w:rFonts w:hint="eastAsia" w:asciiTheme="minorEastAsia" w:hAnsiTheme="minorEastAsia" w:cstheme="minorEastAsia"/>
          <w:sz w:val="28"/>
          <w:szCs w:val="28"/>
        </w:rPr>
        <w:t>公务接待费支出预算为14.5万元，支出决算为7.41万元，完成预算的51.1%，决算小于年初预算数的主要原因是</w:t>
      </w:r>
      <w:r>
        <w:rPr>
          <w:rFonts w:hint="eastAsia" w:ascii="宋体" w:hAnsi="宋体" w:cs="宋体"/>
          <w:sz w:val="28"/>
          <w:szCs w:val="28"/>
          <w:shd w:val="clear" w:color="auto" w:fill="F6F6F6"/>
        </w:rPr>
        <w:t>本委厉行节约，规范管理，进一步压缩“三公”经费。</w:t>
      </w:r>
      <w:r>
        <w:rPr>
          <w:rFonts w:hint="eastAsia" w:asciiTheme="minorEastAsia" w:hAnsiTheme="minorEastAsia" w:cstheme="minorEastAsia"/>
          <w:sz w:val="28"/>
          <w:szCs w:val="28"/>
        </w:rPr>
        <w:t>与上年相比减少5.62万元，减少43.1%,减少的主要原因是</w:t>
      </w:r>
      <w:r>
        <w:rPr>
          <w:rFonts w:hint="eastAsia" w:ascii="宋体" w:hAnsi="宋体" w:cs="宋体"/>
          <w:sz w:val="28"/>
          <w:szCs w:val="28"/>
          <w:shd w:val="clear" w:color="auto" w:fill="F6F6F6"/>
        </w:rPr>
        <w:t>本委厉行节约，规范管理，进一步压缩公务接待费</w:t>
      </w:r>
      <w:r>
        <w:rPr>
          <w:rFonts w:hint="eastAsia" w:asciiTheme="minorEastAsia" w:hAnsiTheme="minorEastAsia" w:cstheme="minorEastAsia"/>
          <w:sz w:val="28"/>
          <w:szCs w:val="28"/>
        </w:rPr>
        <w:t>。</w:t>
      </w:r>
    </w:p>
    <w:p>
      <w:pPr>
        <w:pStyle w:val="3"/>
        <w:widowControl/>
        <w:spacing w:beforeAutospacing="0" w:afterAutospacing="0" w:line="450" w:lineRule="atLeast"/>
        <w:ind w:firstLine="560" w:firstLineChars="200"/>
      </w:pPr>
      <w:r>
        <w:rPr>
          <w:rFonts w:hint="eastAsia" w:asciiTheme="minorEastAsia" w:hAnsiTheme="minorEastAsia" w:cstheme="minorEastAsia"/>
          <w:sz w:val="28"/>
          <w:szCs w:val="28"/>
        </w:rPr>
        <w:t>公务用车购置费及运行维护费支出预算为27.94万元，支出决算为27.94万元，完成预算的99.8%，决算数小于年初预算数的主要原因是</w:t>
      </w:r>
      <w:r>
        <w:rPr>
          <w:rFonts w:hint="eastAsia" w:ascii="宋体" w:hAnsi="宋体" w:eastAsia="宋体" w:cs="宋体"/>
          <w:color w:val="000000"/>
          <w:sz w:val="28"/>
          <w:szCs w:val="28"/>
        </w:rPr>
        <w:t>本委厉行节约，严控三公经费开支，预决算基本持平。与上年相比增加12.02万元，增长76.6%,增长的主要原因是，</w:t>
      </w:r>
      <w:r>
        <w:rPr>
          <w:rFonts w:hint="eastAsia" w:ascii="宋体" w:hAnsi="宋体" w:eastAsia="宋体" w:cs="宋体"/>
          <w:color w:val="000000"/>
          <w:kern w:val="2"/>
          <w:sz w:val="28"/>
          <w:szCs w:val="28"/>
          <w:shd w:val="clear" w:color="auto" w:fill="F6F6F6"/>
        </w:rPr>
        <w:t>为满足日常公务、办案需求，增加执法执勤用车2辆，增加了公务用车运行维护费。</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6"/>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2021年度“三公”经费财政拨款支出决算中，公务接待费支出决算7.41万元，占21.1%,因公出国（境）费支出决算0万元，占0%,公务用车购置费及运行维护费支出决算27.94万元，占78.9%。其中：</w:t>
      </w:r>
    </w:p>
    <w:p>
      <w:pPr>
        <w:pStyle w:val="6"/>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1、因公出国（境）费支出决算为0万元，全年安排因公出国（境）团组0个，累计0人次</w:t>
      </w:r>
    </w:p>
    <w:p>
      <w:pPr>
        <w:pStyle w:val="3"/>
        <w:widowControl/>
        <w:spacing w:beforeAutospacing="0" w:afterAutospacing="0" w:line="450" w:lineRule="atLeast"/>
        <w:ind w:firstLine="700" w:firstLineChars="250"/>
      </w:pPr>
      <w:r>
        <w:rPr>
          <w:rFonts w:hint="eastAsia" w:asciiTheme="minorEastAsia" w:hAnsiTheme="minorEastAsia" w:cstheme="minorEastAsia"/>
          <w:sz w:val="28"/>
          <w:szCs w:val="28"/>
        </w:rPr>
        <w:t>2、公务接待费支出决算为7.41万元，全年共接待来访团组116个、来宾290人次，主要是</w:t>
      </w:r>
      <w:r>
        <w:rPr>
          <w:rFonts w:hint="eastAsia" w:ascii="宋体" w:hAnsi="宋体" w:eastAsia="宋体" w:cs="宋体"/>
          <w:color w:val="000000"/>
          <w:sz w:val="28"/>
          <w:szCs w:val="28"/>
        </w:rPr>
        <w:t>主要是监督检查，联合调查等办公发生的接待支出。</w:t>
      </w:r>
    </w:p>
    <w:p>
      <w:pPr>
        <w:widowControl/>
        <w:spacing w:line="450" w:lineRule="atLeast"/>
        <w:ind w:firstLine="700" w:firstLineChars="250"/>
        <w:jc w:val="left"/>
        <w:rPr>
          <w:rFonts w:asciiTheme="minorEastAsia" w:hAnsiTheme="minorEastAsia" w:cstheme="minorEastAsia"/>
          <w:color w:val="000000"/>
          <w:kern w:val="0"/>
          <w:sz w:val="28"/>
          <w:szCs w:val="28"/>
        </w:rPr>
      </w:pPr>
      <w:r>
        <w:rPr>
          <w:rFonts w:hint="eastAsia" w:asciiTheme="minorEastAsia" w:hAnsiTheme="minorEastAsia" w:cstheme="minorEastAsia"/>
          <w:sz w:val="28"/>
          <w:szCs w:val="28"/>
        </w:rPr>
        <w:t>3、公务用车购置费及运行维护费支出决算为27.94万元，其中：公务用车购置费0万元，</w:t>
      </w:r>
      <w:r>
        <w:rPr>
          <w:rFonts w:hint="eastAsia" w:asciiTheme="minorEastAsia" w:hAnsiTheme="minorEastAsia" w:cstheme="minorEastAsia"/>
          <w:sz w:val="28"/>
          <w:szCs w:val="28"/>
          <w:lang w:eastAsia="zh-CN"/>
        </w:rPr>
        <w:t>本单位及下属事业单位更新公务用车</w:t>
      </w:r>
      <w:r>
        <w:rPr>
          <w:rFonts w:hint="eastAsia" w:asciiTheme="minorEastAsia" w:hAnsiTheme="minorEastAsia" w:cstheme="minorEastAsia"/>
          <w:sz w:val="28"/>
          <w:szCs w:val="28"/>
          <w:lang w:val="en-US" w:eastAsia="zh-CN"/>
        </w:rPr>
        <w:t>0辆。</w:t>
      </w:r>
      <w:r>
        <w:rPr>
          <w:rFonts w:hint="eastAsia" w:asciiTheme="minorEastAsia" w:hAnsiTheme="minorEastAsia" w:cstheme="minorEastAsia"/>
          <w:sz w:val="28"/>
          <w:szCs w:val="28"/>
        </w:rPr>
        <w:t>公务用车运行维护费27.94万元，主要是</w:t>
      </w:r>
      <w:r>
        <w:rPr>
          <w:rFonts w:hint="eastAsia" w:ascii="宋体" w:hAnsi="宋体" w:eastAsia="宋体" w:cs="宋体"/>
          <w:color w:val="666666"/>
          <w:sz w:val="28"/>
          <w:szCs w:val="28"/>
        </w:rPr>
        <w:t>主要是公务用车维修、保险、汽油、过桥过路等</w:t>
      </w:r>
      <w:r>
        <w:rPr>
          <w:rFonts w:hint="eastAsia" w:asciiTheme="minorEastAsia" w:hAnsiTheme="minorEastAsia" w:cstheme="minorEastAsia"/>
          <w:sz w:val="28"/>
          <w:szCs w:val="28"/>
        </w:rPr>
        <w:t>支出，截止2021年12月31日，我单位开支财政拨款的公务用车保有量为6辆。</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3"/>
        <w:widowControl/>
        <w:spacing w:beforeAutospacing="0" w:afterAutospacing="0" w:line="450" w:lineRule="atLeast"/>
        <w:rPr>
          <w:rFonts w:asciiTheme="minorEastAsia" w:hAnsiTheme="minorEastAsia" w:cstheme="minorEastAsia"/>
          <w:b/>
          <w:sz w:val="28"/>
          <w:szCs w:val="28"/>
        </w:rPr>
      </w:pPr>
      <w:r>
        <w:rPr>
          <w:rFonts w:hint="eastAsia" w:asciiTheme="minorEastAsia" w:hAnsiTheme="minorEastAsia" w:cstheme="minorEastAsia"/>
          <w:b/>
          <w:sz w:val="28"/>
          <w:szCs w:val="28"/>
        </w:rPr>
        <w:t xml:space="preserve">      </w:t>
      </w:r>
      <w:r>
        <w:rPr>
          <w:rFonts w:hint="eastAsia" w:ascii="宋体" w:hAnsi="宋体" w:eastAsia="宋体" w:cs="宋体"/>
          <w:color w:val="666666"/>
          <w:kern w:val="2"/>
          <w:sz w:val="28"/>
          <w:szCs w:val="28"/>
        </w:rPr>
        <w:t xml:space="preserve"> 本单位无政府性基金收支</w:t>
      </w:r>
    </w:p>
    <w:p>
      <w:pPr>
        <w:pStyle w:val="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color w:val="333333"/>
          <w:sz w:val="28"/>
          <w:szCs w:val="28"/>
          <w:shd w:val="clear" w:color="auto" w:fill="FFFFFF"/>
        </w:rPr>
        <w:t>国有资本经营预算财政拨款支出决算情况</w:t>
      </w:r>
    </w:p>
    <w:p>
      <w:pPr>
        <w:pStyle w:val="6"/>
        <w:rPr>
          <w:rFonts w:ascii="宋体" w:hAnsi="宋体" w:eastAsia="宋体" w:cs="宋体"/>
          <w:color w:val="auto"/>
          <w:sz w:val="28"/>
          <w:szCs w:val="28"/>
        </w:rPr>
      </w:pPr>
      <w:r>
        <w:rPr>
          <w:rFonts w:hint="eastAsia" w:asciiTheme="minorEastAsia" w:hAnsiTheme="minorEastAsia" w:eastAsiaTheme="minorEastAsia" w:cstheme="minorEastAsia"/>
          <w:sz w:val="28"/>
          <w:szCs w:val="28"/>
        </w:rPr>
        <w:t xml:space="preserve">    </w:t>
      </w:r>
      <w:r>
        <w:rPr>
          <w:rFonts w:hint="eastAsia" w:ascii="宋体" w:hAnsi="宋体" w:eastAsia="宋体" w:cs="宋体"/>
          <w:i/>
          <w:color w:val="auto"/>
          <w:sz w:val="28"/>
          <w:szCs w:val="28"/>
        </w:rPr>
        <w:t>本单位无</w:t>
      </w:r>
      <w:r>
        <w:rPr>
          <w:rFonts w:hint="eastAsia" w:ascii="宋体" w:hAnsi="宋体" w:eastAsia="宋体" w:cs="宋体"/>
          <w:color w:val="auto"/>
          <w:sz w:val="28"/>
          <w:szCs w:val="28"/>
          <w:shd w:val="clear" w:color="auto" w:fill="FFFFFF"/>
        </w:rPr>
        <w:t>国有资本经营预算财政拨款支出</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w:t>
      </w:r>
      <w:r>
        <w:rPr>
          <w:rFonts w:hint="eastAsia" w:asciiTheme="minorEastAsia" w:hAnsiTheme="minorEastAsia" w:cstheme="minorEastAsia"/>
          <w:b/>
          <w:color w:val="000000"/>
          <w:kern w:val="0"/>
          <w:sz w:val="28"/>
          <w:szCs w:val="28"/>
        </w:rPr>
        <w:t>机关运行经费支出情况</w:t>
      </w:r>
    </w:p>
    <w:p>
      <w:pPr>
        <w:pStyle w:val="3"/>
        <w:widowControl/>
        <w:spacing w:beforeAutospacing="0" w:afterAutospacing="0" w:line="450" w:lineRule="atLeast"/>
        <w:ind w:firstLine="700" w:firstLineChars="2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本部门2021 年度机关运行经费支出775.83万元，比年初预算数增加262.68万元，增长（降低）51.1%。主要原因是：</w:t>
      </w:r>
      <w:r>
        <w:rPr>
          <w:rFonts w:asciiTheme="minorEastAsia" w:hAnsiTheme="minorEastAsia" w:cstheme="minorEastAsia"/>
          <w:color w:val="000000"/>
          <w:sz w:val="28"/>
          <w:szCs w:val="28"/>
        </w:rPr>
        <w:t>新增事项追加资金、乡镇纪委办公办案经费等</w:t>
      </w:r>
      <w:r>
        <w:rPr>
          <w:rFonts w:hint="eastAsia" w:asciiTheme="minorEastAsia" w:hAnsiTheme="minorEastAsia" w:cstheme="minorEastAsia"/>
          <w:color w:val="000000"/>
          <w:sz w:val="28"/>
          <w:szCs w:val="28"/>
        </w:rPr>
        <w:t>未纳入预算。</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十一、一般性支出情况</w:t>
      </w:r>
    </w:p>
    <w:p>
      <w:pPr>
        <w:widowControl/>
        <w:snapToGrid w:val="0"/>
        <w:spacing w:line="520" w:lineRule="exact"/>
        <w:ind w:firstLine="560" w:firstLineChars="200"/>
        <w:jc w:val="left"/>
      </w:pPr>
      <w:r>
        <w:rPr>
          <w:rFonts w:hint="eastAsia" w:asciiTheme="minorEastAsia" w:hAnsiTheme="minorEastAsia" w:cstheme="minorEastAsia"/>
          <w:color w:val="000000"/>
          <w:kern w:val="0"/>
          <w:sz w:val="28"/>
          <w:szCs w:val="28"/>
        </w:rPr>
        <w:t>2021年本部门开支会议费5万元，用于召开纪委全会，人数约1290人次，主要包含传达中央、省市纪委全会精神，安排部署今年纪检监察工作任务等内容；召开半年工作调度会等会议，人数140人次，主要总结上半年工作成绩，部署下半年工作任务；开支培训费3.89万元，用于纪检监察系统开展“纪检讲坛” 等培训，人数200</w:t>
      </w:r>
      <w:r>
        <w:rPr>
          <w:rFonts w:hint="eastAsia" w:ascii="宋体" w:hAnsi="宋体" w:eastAsia="宋体" w:cs="宋体"/>
          <w:color w:val="000000"/>
          <w:kern w:val="0"/>
          <w:sz w:val="28"/>
          <w:szCs w:val="28"/>
        </w:rPr>
        <w:t>人次，内容为提升办案业务能力。</w:t>
      </w:r>
    </w:p>
    <w:p>
      <w:pPr>
        <w:ind w:firstLine="280" w:firstLineChars="10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十二、政府采购支出情况</w:t>
      </w:r>
    </w:p>
    <w:p>
      <w:pPr>
        <w:ind w:firstLine="560" w:firstLineChars="200"/>
        <w:rPr>
          <w:rFonts w:asciiTheme="minorEastAsia" w:hAnsiTheme="minorEastAsia" w:cstheme="minorEastAsia"/>
          <w:i/>
          <w:color w:val="FF0000"/>
          <w:kern w:val="0"/>
          <w:sz w:val="28"/>
          <w:szCs w:val="28"/>
        </w:rPr>
      </w:pPr>
      <w:r>
        <w:rPr>
          <w:rFonts w:hint="eastAsia" w:asciiTheme="minorEastAsia" w:hAnsiTheme="minorEastAsia" w:cstheme="minorEastAsia"/>
          <w:color w:val="000000"/>
          <w:kern w:val="0"/>
          <w:sz w:val="28"/>
          <w:szCs w:val="28"/>
        </w:rPr>
        <w:t>本部门2021年度政府采购支出总额83万元，其中：政府采购货物支出54万元、政府采购工程支出26万元、政府采购服务支出3万元。授予中小企业合同金额29.3万元，占政府采购支出总额的35.3%，其中：授予小微企业合同金额17.4万元，占政府采购支出总额的 20.9%。</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十三、国有资产占用情况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截至2021年12月31日，本单位共有车辆6辆，其中，领导干部用车0辆、机要通信用车0辆、应急保障用车0辆、执法执勤用车6辆、特种专业技术用车0辆、其他用车0辆；单位价值50万元以上通用设备0台（套）；单位价值100万元以上专用设备0台（套）。</w:t>
      </w:r>
    </w:p>
    <w:p>
      <w:pPr>
        <w:pStyle w:val="6"/>
        <w:rPr>
          <w:rFonts w:asciiTheme="minorEastAsia" w:hAnsiTheme="minorEastAsia" w:eastAsiaTheme="minorEastAsia" w:cstheme="minorEastAsia"/>
          <w:b/>
          <w:sz w:val="28"/>
          <w:szCs w:val="28"/>
        </w:rPr>
      </w:pPr>
      <w:r>
        <w:rPr>
          <w:rFonts w:hint="eastAsia" w:asciiTheme="minorEastAsia" w:hAnsiTheme="minorEastAsia" w:cstheme="minorEastAsia"/>
          <w:b/>
          <w:sz w:val="28"/>
          <w:szCs w:val="28"/>
        </w:rPr>
        <w:t>十四、</w:t>
      </w:r>
      <w:r>
        <w:rPr>
          <w:rFonts w:hint="eastAsia" w:asciiTheme="minorEastAsia" w:hAnsiTheme="minorEastAsia" w:eastAsiaTheme="minorEastAsia" w:cstheme="minorEastAsia"/>
          <w:b/>
          <w:sz w:val="28"/>
          <w:szCs w:val="28"/>
        </w:rPr>
        <w:t>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年度一般公共预算项目支出全面开展绩效自评，其中，一级项目0个，二级项目0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个，共涉及资金0万元，占一般公共预算项目支出总额的0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年度0个政府性基金预算项目支出开展绩效自评，共涉及资金0万元，占政府性基金预算项目支出总额的0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年度0个国有资本经营预算项目支出开展绩效自评，共涉及资金0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万元，占国有资本经营预算项目支出总额的0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个项目开展了部门评价，涉及一般公共预算支出0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万元，政府性基金预算支出0万元，国有资本经营预算支出0万元。</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组织对0个单位开展整体支出绩效评价，涉及一般公共预算支出0万元，政府性基金预算支出0万元。</w:t>
      </w:r>
    </w:p>
    <w:p>
      <w:pPr>
        <w:autoSpaceDE w:val="0"/>
        <w:autoSpaceDN w:val="0"/>
        <w:adjustRightInd w:val="0"/>
        <w:ind w:firstLine="560" w:firstLineChars="200"/>
        <w:jc w:val="left"/>
        <w:rPr>
          <w:rFonts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（2）部门决算中项目绩效自评结果（如有）。</w:t>
      </w:r>
    </w:p>
    <w:p>
      <w:pPr>
        <w:autoSpaceDE w:val="0"/>
        <w:autoSpaceDN w:val="0"/>
        <w:adjustRightInd w:val="0"/>
        <w:ind w:firstLine="560" w:firstLineChars="200"/>
        <w:jc w:val="left"/>
        <w:rPr>
          <w:rFonts w:ascii="宋体" w:hAnsi="宋体" w:eastAsia="宋体" w:cs="宋体"/>
          <w:sz w:val="28"/>
          <w:szCs w:val="28"/>
        </w:rPr>
      </w:pPr>
      <w:r>
        <w:rPr>
          <w:rFonts w:hint="eastAsia" w:ascii="宋体" w:hAnsi="宋体" w:eastAsia="宋体" w:cs="宋体"/>
          <w:sz w:val="28"/>
          <w:szCs w:val="28"/>
        </w:rPr>
        <w:t>本单位无项目支出，因此无项目绩效自评</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b/>
          <w:color w:val="000000"/>
          <w:kern w:val="0"/>
          <w:sz w:val="28"/>
          <w:szCs w:val="28"/>
        </w:rPr>
        <w:t>（</w:t>
      </w:r>
      <w:r>
        <w:rPr>
          <w:rFonts w:cs="黑体" w:asciiTheme="minorEastAsia" w:hAnsiTheme="minorEastAsia"/>
          <w:b/>
          <w:color w:val="000000"/>
          <w:kern w:val="0"/>
          <w:sz w:val="28"/>
          <w:szCs w:val="28"/>
        </w:rPr>
        <w:t>3</w:t>
      </w:r>
      <w:r>
        <w:rPr>
          <w:rFonts w:hint="eastAsia" w:cs="黑体" w:asciiTheme="minorEastAsia" w:hAnsiTheme="minorEastAsia"/>
          <w:b/>
          <w:color w:val="000000"/>
          <w:kern w:val="0"/>
          <w:sz w:val="28"/>
          <w:szCs w:val="28"/>
        </w:rPr>
        <w:t>）部门评价项目绩效评价结果。</w:t>
      </w:r>
    </w:p>
    <w:p>
      <w:pPr>
        <w:pStyle w:val="6"/>
        <w:ind w:firstLine="560" w:firstLineChars="200"/>
        <w:rPr>
          <w:rFonts w:asciiTheme="minorEastAsia" w:hAnsiTheme="minorEastAsia" w:eastAsiaTheme="minorEastAsia"/>
          <w:sz w:val="28"/>
          <w:szCs w:val="28"/>
        </w:rPr>
      </w:pPr>
      <w:r>
        <w:rPr>
          <w:rFonts w:hint="eastAsia" w:ascii="宋体" w:hAnsi="宋体" w:eastAsia="宋体" w:cs="宋体"/>
          <w:sz w:val="28"/>
          <w:szCs w:val="28"/>
        </w:rPr>
        <w:t>本单位无项目支出，因此也无部门评价项目绩效评价结果。</w:t>
      </w:r>
    </w:p>
    <w:p>
      <w:pPr>
        <w:pStyle w:val="6"/>
        <w:jc w:val="both"/>
        <w:rPr>
          <w:rFonts w:hAnsi="黑体"/>
          <w:sz w:val="32"/>
          <w:szCs w:val="32"/>
        </w:rPr>
      </w:pPr>
    </w:p>
    <w:p>
      <w:pPr>
        <w:pStyle w:val="6"/>
        <w:jc w:val="both"/>
        <w:rPr>
          <w:rFonts w:hAnsi="黑体"/>
          <w:sz w:val="32"/>
          <w:szCs w:val="32"/>
        </w:rPr>
      </w:pPr>
      <w:r>
        <w:rPr>
          <w:rFonts w:hint="eastAsia" w:hAnsi="黑体"/>
          <w:sz w:val="32"/>
          <w:szCs w:val="32"/>
        </w:rPr>
        <w:t>第四部分 名词解释</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一、收入科目</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财政拨款收入：指财政当年拨付的资金。</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二、支出科目</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1.基本支出：指为保障机构正常运转、完成日常工作任务而发生的人员支出和公用支出。</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2.项目支出：指在基本支出之外为完成特定行政任务和事业发展目标所发生的支出。</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3.年末结转和结余：指本年度或以前年度预算安排、因客观条件发生变化无法按原计划实施，需延迟到以后年度按有关规定继续使用的资金。</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三、“三公”经费</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四、机关运行经费</w:t>
      </w:r>
    </w:p>
    <w:p>
      <w:pPr>
        <w:pStyle w:val="6"/>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6"/>
        <w:ind w:firstLine="640" w:firstLineChars="200"/>
        <w:jc w:val="both"/>
        <w:rPr>
          <w:rFonts w:hAnsi="黑体"/>
          <w:sz w:val="32"/>
          <w:szCs w:val="32"/>
        </w:rPr>
      </w:pPr>
      <w:r>
        <w:rPr>
          <w:rFonts w:hint="eastAsia" w:hAnsi="黑体"/>
          <w:sz w:val="32"/>
          <w:szCs w:val="32"/>
        </w:rPr>
        <w:t>第五部分 附件</w:t>
      </w:r>
    </w:p>
    <w:p>
      <w:pPr>
        <w:ind w:firstLine="560" w:firstLineChars="200"/>
        <w:jc w:val="center"/>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2021年度部门整体支出绩效评价报告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69D6D"/>
    <w:multiLevelType w:val="singleLevel"/>
    <w:tmpl w:val="CEF69D6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RmZjcxNGUyZGNiYmQ1ZmRjMWYzYjZiYmJkYTA1ZWEifQ=="/>
  </w:docVars>
  <w:rsids>
    <w:rsidRoot w:val="196D3D59"/>
    <w:rsid w:val="00170DCD"/>
    <w:rsid w:val="001B62C8"/>
    <w:rsid w:val="00281BF9"/>
    <w:rsid w:val="002E5ECE"/>
    <w:rsid w:val="00376396"/>
    <w:rsid w:val="00394B44"/>
    <w:rsid w:val="0041337F"/>
    <w:rsid w:val="0062445A"/>
    <w:rsid w:val="007560D0"/>
    <w:rsid w:val="00D12130"/>
    <w:rsid w:val="00D51F61"/>
    <w:rsid w:val="00F20A6F"/>
    <w:rsid w:val="00F8186F"/>
    <w:rsid w:val="00FD0231"/>
    <w:rsid w:val="01B076DB"/>
    <w:rsid w:val="02F72EC0"/>
    <w:rsid w:val="036F42EC"/>
    <w:rsid w:val="058A4111"/>
    <w:rsid w:val="06983C28"/>
    <w:rsid w:val="06B40BB6"/>
    <w:rsid w:val="088307DA"/>
    <w:rsid w:val="09384E12"/>
    <w:rsid w:val="11AB62DD"/>
    <w:rsid w:val="11CA7447"/>
    <w:rsid w:val="11D27E4B"/>
    <w:rsid w:val="15EA7BF2"/>
    <w:rsid w:val="19637F77"/>
    <w:rsid w:val="196D3D59"/>
    <w:rsid w:val="1AA2328C"/>
    <w:rsid w:val="1CF8147A"/>
    <w:rsid w:val="205F0C89"/>
    <w:rsid w:val="23D76CE3"/>
    <w:rsid w:val="27B505C4"/>
    <w:rsid w:val="286F41DD"/>
    <w:rsid w:val="2F7E7513"/>
    <w:rsid w:val="2F9874C3"/>
    <w:rsid w:val="319B222C"/>
    <w:rsid w:val="33E733A3"/>
    <w:rsid w:val="34405C04"/>
    <w:rsid w:val="36DC4165"/>
    <w:rsid w:val="383F5EE0"/>
    <w:rsid w:val="3C303BC7"/>
    <w:rsid w:val="3D806137"/>
    <w:rsid w:val="40B945D5"/>
    <w:rsid w:val="41375A58"/>
    <w:rsid w:val="42297331"/>
    <w:rsid w:val="449937C3"/>
    <w:rsid w:val="44CA146A"/>
    <w:rsid w:val="44DF2029"/>
    <w:rsid w:val="46B508EF"/>
    <w:rsid w:val="46D23858"/>
    <w:rsid w:val="47FD5A57"/>
    <w:rsid w:val="48233CFE"/>
    <w:rsid w:val="4AAF0FCF"/>
    <w:rsid w:val="4B0F4895"/>
    <w:rsid w:val="4C8E2E4B"/>
    <w:rsid w:val="4F2052C3"/>
    <w:rsid w:val="50232774"/>
    <w:rsid w:val="50673ECC"/>
    <w:rsid w:val="50E06EFE"/>
    <w:rsid w:val="516508E8"/>
    <w:rsid w:val="51906F0D"/>
    <w:rsid w:val="52481539"/>
    <w:rsid w:val="529E4037"/>
    <w:rsid w:val="5313200B"/>
    <w:rsid w:val="539C272F"/>
    <w:rsid w:val="54355C96"/>
    <w:rsid w:val="553339F0"/>
    <w:rsid w:val="565E40B1"/>
    <w:rsid w:val="5753429D"/>
    <w:rsid w:val="5A78338F"/>
    <w:rsid w:val="5C100F39"/>
    <w:rsid w:val="5F6822B9"/>
    <w:rsid w:val="60C938AE"/>
    <w:rsid w:val="62BD34F1"/>
    <w:rsid w:val="65A25E7D"/>
    <w:rsid w:val="66772C4E"/>
    <w:rsid w:val="670F615C"/>
    <w:rsid w:val="675C6968"/>
    <w:rsid w:val="686C68AF"/>
    <w:rsid w:val="68A64698"/>
    <w:rsid w:val="6A11013E"/>
    <w:rsid w:val="6B3134B9"/>
    <w:rsid w:val="6B4F3297"/>
    <w:rsid w:val="71062E85"/>
    <w:rsid w:val="74506E51"/>
    <w:rsid w:val="74A75E36"/>
    <w:rsid w:val="790A7FD0"/>
    <w:rsid w:val="79EC308A"/>
    <w:rsid w:val="7E1D1852"/>
    <w:rsid w:val="7E23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7373</Words>
  <Characters>8578</Characters>
  <Lines>81</Lines>
  <Paragraphs>22</Paragraphs>
  <TotalTime>5</TotalTime>
  <ScaleCrop>false</ScaleCrop>
  <LinksUpToDate>false</LinksUpToDate>
  <CharactersWithSpaces>10257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2022-10-31T03:09:00Z</dcterms:created>
  <dc:creator>Administrator</dc:creator>
  <cp:lastModifiedBy>WPS_1668157542</cp:lastModifiedBy>
  <dcterms:modified xsi:type="dcterms:W3CDTF">2023-09-25T08:49:07Z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510CB295E9E94074B0D9C7F9B8A3A752_12</vt:lpwstr>
  </property>
</Properties>
</file>