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sz w:val="48"/>
          <w:szCs w:val="48"/>
        </w:rPr>
      </w:pPr>
    </w:p>
    <w:p>
      <w:pPr>
        <w:pStyle w:val="7"/>
        <w:jc w:val="center"/>
        <w:rPr>
          <w:sz w:val="48"/>
          <w:szCs w:val="48"/>
        </w:rPr>
      </w:pPr>
      <w:r>
        <w:rPr>
          <w:rFonts w:hint="eastAsia"/>
          <w:sz w:val="48"/>
          <w:szCs w:val="48"/>
        </w:rPr>
        <w:t>新田县云梯学校2021年度部门决算公开</w:t>
      </w:r>
    </w:p>
    <w:p>
      <w:pPr>
        <w:pStyle w:val="7"/>
        <w:spacing w:line="520" w:lineRule="exact"/>
        <w:jc w:val="center"/>
        <w:rPr>
          <w:sz w:val="44"/>
          <w:szCs w:val="44"/>
        </w:rPr>
      </w:pPr>
      <w:r>
        <w:rPr>
          <w:rFonts w:hint="eastAsia"/>
          <w:sz w:val="44"/>
          <w:szCs w:val="44"/>
        </w:rPr>
        <w:t>目录</w:t>
      </w:r>
    </w:p>
    <w:p>
      <w:pPr>
        <w:pStyle w:val="7"/>
        <w:spacing w:line="520" w:lineRule="exact"/>
        <w:rPr>
          <w:rFonts w:ascii="仿宋_GB2312" w:hAnsi="仿宋_GB2312" w:cs="仿宋_GB2312"/>
          <w:b/>
          <w:sz w:val="28"/>
          <w:szCs w:val="28"/>
        </w:rPr>
      </w:pPr>
      <w:r>
        <w:rPr>
          <w:rFonts w:hint="eastAsia"/>
          <w:b/>
          <w:sz w:val="28"/>
          <w:szCs w:val="28"/>
        </w:rPr>
        <w:t>第一部分新田县云梯学校概况</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7"/>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7"/>
        <w:spacing w:line="520" w:lineRule="exact"/>
        <w:ind w:firstLine="840" w:firstLineChars="300"/>
        <w:rPr>
          <w:rFonts w:ascii="宋体" w:hAnsi="宋体" w:eastAsia="宋体" w:cs="宋体"/>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7"/>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4"/>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第一部分  新田县云梯学校单位概况</w:t>
      </w:r>
    </w:p>
    <w:p>
      <w:pPr>
        <w:pStyle w:val="8"/>
        <w:numPr>
          <w:ilvl w:val="0"/>
          <w:numId w:val="1"/>
        </w:numPr>
        <w:ind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部门职责</w:t>
      </w:r>
    </w:p>
    <w:p>
      <w:pPr>
        <w:ind w:firstLine="800" w:firstLineChars="250"/>
        <w:jc w:val="left"/>
        <w:rPr>
          <w:rFonts w:asciiTheme="minorEastAsia" w:hAnsiTheme="minorEastAsia" w:cstheme="minorEastAsia"/>
          <w:sz w:val="28"/>
          <w:szCs w:val="28"/>
        </w:rPr>
      </w:pPr>
      <w:r>
        <w:rPr>
          <w:rFonts w:hint="eastAsia" w:ascii="仿宋" w:hAnsi="仿宋" w:eastAsia="仿宋" w:cs="仿宋_GB2312"/>
          <w:sz w:val="32"/>
          <w:szCs w:val="32"/>
        </w:rPr>
        <w:t>本单位主要职能是实施基础教育教学工作，促进基础教育发展，开展初中学历教育。</w:t>
      </w:r>
    </w:p>
    <w:p>
      <w:pPr>
        <w:widowControl/>
        <w:spacing w:line="60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二、机构设置及决算单位构成</w:t>
      </w:r>
    </w:p>
    <w:p>
      <w:pPr>
        <w:widowControl/>
        <w:spacing w:line="600" w:lineRule="exact"/>
        <w:ind w:firstLine="560" w:firstLineChars="200"/>
        <w:rPr>
          <w:rFonts w:ascii="仿宋" w:hAnsi="仿宋" w:eastAsia="仿宋" w:cs="仿宋_GB2312"/>
          <w:sz w:val="32"/>
          <w:szCs w:val="32"/>
        </w:rPr>
      </w:pPr>
      <w:r>
        <w:rPr>
          <w:rFonts w:hint="eastAsia" w:asciiTheme="minorEastAsia" w:hAnsiTheme="minorEastAsia" w:cstheme="minorEastAsia"/>
          <w:bCs/>
          <w:kern w:val="0"/>
          <w:sz w:val="28"/>
          <w:szCs w:val="28"/>
        </w:rPr>
        <w:t>（一）内设机构设置。</w:t>
      </w:r>
      <w:r>
        <w:rPr>
          <w:rFonts w:hint="eastAsia" w:asciiTheme="minorEastAsia" w:hAnsiTheme="minorEastAsia" w:cstheme="minorEastAsia"/>
          <w:bCs/>
          <w:sz w:val="28"/>
          <w:szCs w:val="28"/>
        </w:rPr>
        <w:t>云梯学校内设机构包括：</w:t>
      </w:r>
      <w:r>
        <w:rPr>
          <w:rFonts w:ascii="仿宋" w:hAnsi="仿宋" w:eastAsia="仿宋" w:cs="仿宋_GB2312"/>
          <w:sz w:val="32"/>
          <w:szCs w:val="32"/>
        </w:rPr>
        <w:t>根据编委核定，我</w:t>
      </w:r>
      <w:r>
        <w:rPr>
          <w:rFonts w:hint="eastAsia" w:ascii="仿宋" w:hAnsi="仿宋" w:eastAsia="仿宋" w:cs="仿宋_GB2312"/>
          <w:sz w:val="32"/>
          <w:szCs w:val="32"/>
        </w:rPr>
        <w:t>校属财政全额拨款事业单位，</w:t>
      </w:r>
      <w:r>
        <w:rPr>
          <w:rFonts w:ascii="仿宋" w:hAnsi="仿宋" w:eastAsia="仿宋" w:cs="仿宋_GB2312"/>
          <w:sz w:val="32"/>
          <w:szCs w:val="32"/>
        </w:rPr>
        <w:t>内设</w:t>
      </w:r>
      <w:r>
        <w:rPr>
          <w:rFonts w:hint="eastAsia" w:ascii="仿宋" w:hAnsi="仿宋" w:eastAsia="仿宋" w:cs="仿宋_GB2312"/>
          <w:sz w:val="32"/>
          <w:szCs w:val="32"/>
        </w:rPr>
        <w:t>工会、办公室、教务处、政教处、团委会。</w:t>
      </w:r>
    </w:p>
    <w:p>
      <w:pPr>
        <w:widowControl/>
        <w:spacing w:line="600" w:lineRule="exact"/>
        <w:ind w:firstLine="548" w:firstLineChars="196"/>
        <w:rPr>
          <w:rFonts w:cs="黑体" w:asciiTheme="minorEastAsia" w:hAnsiTheme="minorEastAsia"/>
          <w:kern w:val="0"/>
          <w:sz w:val="28"/>
          <w:szCs w:val="28"/>
          <w:shd w:val="clear" w:color="auto" w:fill="F6F6F6"/>
        </w:rPr>
      </w:pPr>
      <w:r>
        <w:rPr>
          <w:rFonts w:hint="eastAsia" w:asciiTheme="minorEastAsia" w:hAnsiTheme="minorEastAsia" w:cstheme="minorEastAsia"/>
          <w:bCs/>
          <w:kern w:val="0"/>
          <w:sz w:val="28"/>
          <w:szCs w:val="28"/>
        </w:rPr>
        <w:t>（二）决算单位构成。云梯学校单位2021年部门决算汇总公开单位构成包括：</w:t>
      </w:r>
      <w:r>
        <w:rPr>
          <w:rFonts w:hint="eastAsia" w:asciiTheme="minorEastAsia" w:hAnsiTheme="minorEastAsia"/>
          <w:bCs/>
          <w:sz w:val="28"/>
          <w:szCs w:val="28"/>
        </w:rPr>
        <w:t>本</w:t>
      </w:r>
      <w:r>
        <w:rPr>
          <w:rFonts w:asciiTheme="minorEastAsia" w:hAnsiTheme="minorEastAsia"/>
          <w:sz w:val="28"/>
          <w:szCs w:val="28"/>
        </w:rPr>
        <w:t>部门只有本级，没有其他预算单位，因此本部门预算仅含本级</w:t>
      </w:r>
      <w:r>
        <w:rPr>
          <w:rFonts w:hint="eastAsia" w:asciiTheme="minorEastAsia" w:hAnsiTheme="minorEastAsia"/>
          <w:sz w:val="28"/>
          <w:szCs w:val="28"/>
        </w:rPr>
        <w:t>决</w:t>
      </w:r>
      <w:r>
        <w:rPr>
          <w:rFonts w:asciiTheme="minorEastAsia" w:hAnsiTheme="minorEastAsia"/>
          <w:sz w:val="28"/>
          <w:szCs w:val="28"/>
        </w:rPr>
        <w:t>算。</w:t>
      </w:r>
    </w:p>
    <w:p>
      <w:pPr>
        <w:widowControl/>
        <w:spacing w:line="600" w:lineRule="exact"/>
        <w:rPr>
          <w:rFonts w:asciiTheme="minorEastAsia" w:hAnsiTheme="minorEastAsia" w:cstheme="minorEastAsia"/>
          <w:bCs/>
          <w:kern w:val="0"/>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第二部分 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部门：新田县云梯学校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618" w:firstLine="13335" w:firstLineChars="635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510" w:hRule="exac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736.02</w:t>
            </w: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1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25.79</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0"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76" w:hRule="exac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736.02</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ind w:firstLine="7200" w:firstLineChars="2000"/>
        <w:jc w:val="left"/>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新田县云梯学校</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555"/>
        <w:gridCol w:w="1309"/>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752"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0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5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0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5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0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752"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752"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15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教育支出</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15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普通教育</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2050203</w:t>
            </w:r>
          </w:p>
        </w:tc>
        <w:tc>
          <w:tcPr>
            <w:tcW w:w="15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初中教育</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0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0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5"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0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新田县云梯学校</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505"/>
        <w:gridCol w:w="1519"/>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607"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1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50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1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0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1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607"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19"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607"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1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w:t>
            </w:r>
          </w:p>
        </w:tc>
        <w:tc>
          <w:tcPr>
            <w:tcW w:w="150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教育支出</w:t>
            </w:r>
          </w:p>
        </w:tc>
        <w:tc>
          <w:tcPr>
            <w:tcW w:w="151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w:t>
            </w:r>
          </w:p>
        </w:tc>
        <w:tc>
          <w:tcPr>
            <w:tcW w:w="150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普通教育</w:t>
            </w:r>
          </w:p>
        </w:tc>
        <w:tc>
          <w:tcPr>
            <w:tcW w:w="151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2050203</w:t>
            </w:r>
          </w:p>
        </w:tc>
        <w:tc>
          <w:tcPr>
            <w:tcW w:w="150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初中教育</w:t>
            </w:r>
          </w:p>
        </w:tc>
        <w:tc>
          <w:tcPr>
            <w:tcW w:w="151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p>
        </w:tc>
        <w:tc>
          <w:tcPr>
            <w:tcW w:w="1505" w:type="dxa"/>
            <w:shd w:val="clear" w:color="auto" w:fill="auto"/>
            <w:noWrap/>
            <w:vAlign w:val="center"/>
          </w:tcPr>
          <w:p>
            <w:pPr>
              <w:widowControl/>
              <w:jc w:val="center"/>
              <w:rPr>
                <w:rFonts w:ascii="Times New Roman" w:hAnsi="Times New Roman" w:eastAsia="仿宋_GB2312" w:cs="Times New Roman"/>
                <w:kern w:val="0"/>
                <w:szCs w:val="21"/>
              </w:rPr>
            </w:pPr>
          </w:p>
        </w:tc>
        <w:tc>
          <w:tcPr>
            <w:tcW w:w="1519"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p>
        </w:tc>
        <w:tc>
          <w:tcPr>
            <w:tcW w:w="1505" w:type="dxa"/>
            <w:shd w:val="clear" w:color="auto" w:fill="auto"/>
            <w:noWrap/>
            <w:vAlign w:val="center"/>
          </w:tcPr>
          <w:p>
            <w:pPr>
              <w:widowControl/>
              <w:jc w:val="center"/>
              <w:rPr>
                <w:rFonts w:ascii="Times New Roman" w:hAnsi="Times New Roman" w:eastAsia="仿宋_GB2312" w:cs="Times New Roman"/>
                <w:kern w:val="0"/>
                <w:szCs w:val="21"/>
              </w:rPr>
            </w:pPr>
          </w:p>
        </w:tc>
        <w:tc>
          <w:tcPr>
            <w:tcW w:w="1519"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05"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1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auto"/>
          <w:kern w:val="0"/>
          <w:szCs w:val="21"/>
          <w:highlight w:val="none"/>
        </w:rPr>
        <w:t>部门：</w:t>
      </w:r>
      <w:r>
        <w:rPr>
          <w:rFonts w:hint="eastAsia" w:ascii="Times New Roman" w:hAnsi="Times New Roman" w:eastAsia="仿宋_GB2312" w:cs="Times New Roman"/>
          <w:color w:val="000000"/>
          <w:kern w:val="0"/>
          <w:szCs w:val="21"/>
        </w:rPr>
        <w:t>新田县云梯学校</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710.23</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25.79</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25.79</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新田县云梯学校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2050203</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初中教育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736.02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line="240" w:lineRule="atLeast"/>
        <w:jc w:val="center"/>
        <w:rPr>
          <w:rFonts w:ascii="Times New Roman" w:hAnsi="Times New Roman" w:eastAsia="方正小标宋_GBK" w:cs="Times New Roman"/>
          <w:color w:val="000000"/>
          <w:spacing w:val="-20"/>
          <w:kern w:val="0"/>
          <w:sz w:val="28"/>
          <w:szCs w:val="36"/>
        </w:rPr>
      </w:pPr>
      <w:bookmarkStart w:id="1" w:name="RANGE!A1:I39"/>
      <w:r>
        <w:rPr>
          <w:rFonts w:ascii="Times New Roman" w:hAnsi="Times New Roman" w:eastAsia="方正小标宋_GBK" w:cs="Times New Roman"/>
          <w:kern w:val="0"/>
          <w:sz w:val="36"/>
          <w:szCs w:val="36"/>
        </w:rPr>
        <w:t>一般公共预算财政拨款基本支出决算表</w:t>
      </w:r>
      <w:bookmarkEnd w:id="1"/>
    </w:p>
    <w:p>
      <w:pPr>
        <w:widowControl/>
        <w:spacing w:line="240" w:lineRule="atLeast"/>
        <w:ind w:left="11730" w:hanging="11730" w:hangingChars="6900"/>
        <w:jc w:val="left"/>
        <w:rPr>
          <w:rFonts w:ascii="Times New Roman" w:hAnsi="Times New Roman" w:eastAsia="仿宋_GB2312" w:cs="Times New Roman"/>
          <w:color w:val="000000"/>
          <w:spacing w:val="-20"/>
          <w:kern w:val="0"/>
          <w:szCs w:val="21"/>
        </w:rPr>
      </w:pPr>
      <w:r>
        <w:rPr>
          <w:rFonts w:ascii="Times New Roman" w:hAnsi="Times New Roman" w:eastAsia="仿宋_GB2312" w:cs="Times New Roman"/>
          <w:color w:val="000000"/>
          <w:spacing w:val="-20"/>
          <w:kern w:val="0"/>
          <w:szCs w:val="21"/>
        </w:rPr>
        <w:t xml:space="preserve">部门：  </w:t>
      </w:r>
      <w:r>
        <w:rPr>
          <w:rFonts w:hint="eastAsia" w:ascii="Times New Roman" w:hAnsi="Times New Roman" w:eastAsia="仿宋_GB2312" w:cs="Times New Roman"/>
          <w:color w:val="000000"/>
          <w:spacing w:val="-20"/>
          <w:kern w:val="0"/>
          <w:szCs w:val="21"/>
        </w:rPr>
        <w:t>新田县云梯学校</w:t>
      </w:r>
      <w:r>
        <w:rPr>
          <w:rFonts w:ascii="Times New Roman" w:hAnsi="Times New Roman" w:eastAsia="仿宋_GB2312" w:cs="Times New Roman"/>
          <w:color w:val="000000"/>
          <w:spacing w:val="-20"/>
          <w:kern w:val="0"/>
          <w:szCs w:val="21"/>
        </w:rPr>
        <w:t xml:space="preserve">                                                                                                           </w:t>
      </w:r>
      <w:r>
        <w:rPr>
          <w:rFonts w:hint="eastAsia" w:ascii="Times New Roman" w:hAnsi="Times New Roman" w:eastAsia="仿宋_GB2312" w:cs="Times New Roman"/>
          <w:color w:val="000000"/>
          <w:spacing w:val="-20"/>
          <w:kern w:val="0"/>
          <w:szCs w:val="21"/>
        </w:rPr>
        <w:t xml:space="preserve">         </w:t>
      </w:r>
      <w:r>
        <w:rPr>
          <w:rFonts w:ascii="Times New Roman" w:hAnsi="Times New Roman" w:eastAsia="仿宋_GB2312" w:cs="Times New Roman"/>
          <w:color w:val="000000"/>
          <w:spacing w:val="-20"/>
          <w:kern w:val="0"/>
          <w:szCs w:val="21"/>
        </w:rPr>
        <w:t xml:space="preserve">        </w:t>
      </w:r>
      <w:r>
        <w:rPr>
          <w:rFonts w:hint="eastAsia" w:ascii="Times New Roman" w:hAnsi="Times New Roman" w:eastAsia="仿宋_GB2312" w:cs="Times New Roman"/>
          <w:color w:val="000000"/>
          <w:spacing w:val="-20"/>
          <w:kern w:val="0"/>
          <w:szCs w:val="21"/>
        </w:rPr>
        <w:t xml:space="preserve">                                                                     </w:t>
      </w:r>
      <w:r>
        <w:rPr>
          <w:rFonts w:ascii="Times New Roman" w:hAnsi="Times New Roman" w:eastAsia="仿宋_GB2312" w:cs="Times New Roman"/>
          <w:color w:val="000000"/>
          <w:spacing w:val="-20"/>
          <w:kern w:val="0"/>
          <w:szCs w:val="21"/>
        </w:rPr>
        <w:t xml:space="preserve">  公开06表</w:t>
      </w:r>
    </w:p>
    <w:p>
      <w:pPr>
        <w:widowControl/>
        <w:spacing w:line="240" w:lineRule="atLeast"/>
        <w:jc w:val="right"/>
        <w:rPr>
          <w:rFonts w:ascii="Times New Roman" w:hAnsi="Times New Roman" w:eastAsia="仿宋_GB2312" w:cs="Times New Roman"/>
          <w:color w:val="000000"/>
          <w:spacing w:val="-20"/>
          <w:kern w:val="0"/>
          <w:szCs w:val="21"/>
        </w:rPr>
      </w:pPr>
      <w:r>
        <w:rPr>
          <w:rFonts w:ascii="Times New Roman" w:hAnsi="Times New Roman" w:eastAsia="仿宋_GB2312" w:cs="Times New Roman"/>
          <w:color w:val="000000"/>
          <w:spacing w:val="-2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2694"/>
        <w:gridCol w:w="1468"/>
        <w:gridCol w:w="1110"/>
        <w:gridCol w:w="2099"/>
        <w:gridCol w:w="1276"/>
        <w:gridCol w:w="854"/>
        <w:gridCol w:w="3682"/>
        <w:gridCol w:w="1568"/>
      </w:tblGrid>
      <w:tr>
        <w:tblPrEx>
          <w:tblCellMar>
            <w:top w:w="0" w:type="dxa"/>
            <w:left w:w="108" w:type="dxa"/>
            <w:bottom w:w="0" w:type="dxa"/>
            <w:right w:w="108" w:type="dxa"/>
          </w:tblCellMar>
        </w:tblPrEx>
        <w:trPr>
          <w:trHeight w:val="834"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69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46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99"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7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682"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56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exact"/>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635.27　636352669.11666363526352669.116352669.11</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94.72</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基本工资</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223.15</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14.22</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国内债务付息</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津贴补贴</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29.34</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印刷费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12.13</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国外债务付息</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奖金</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67.00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咨询费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56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0.18</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伙食补助费</w:t>
            </w:r>
          </w:p>
        </w:tc>
        <w:tc>
          <w:tcPr>
            <w:tcW w:w="1468"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手续费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房屋建筑物购建</w:t>
            </w:r>
          </w:p>
        </w:tc>
        <w:tc>
          <w:tcPr>
            <w:tcW w:w="1568"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绩效工资</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155.02</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水费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办公设备购置</w:t>
            </w:r>
          </w:p>
        </w:tc>
        <w:tc>
          <w:tcPr>
            <w:tcW w:w="156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0.18</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机关事业单位基本养老保险费</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59.70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电费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专用设备购置</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职业年金缴费</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29.85</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邮电费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0.27</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基础设施建设</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职工基本医疗保险缴费</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24.01</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取暖费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大型修缮</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公务员医疗补助缴费</w:t>
            </w:r>
          </w:p>
        </w:tc>
        <w:tc>
          <w:tcPr>
            <w:tcW w:w="1468"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物业管理费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信息网络及软件购置更新</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其他社会保障缴费</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4.87</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差旅费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0.04</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物资储备</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住房公积金</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42.18</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因公出国（境）费用</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土地补偿</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w:t>
            </w:r>
          </w:p>
        </w:tc>
        <w:tc>
          <w:tcPr>
            <w:tcW w:w="1468"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维修（护）费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18.07</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安置补助</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其他工资福利支出</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0.15</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租赁费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地上附着物和青苗补偿</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5.85</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会议费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拆迁补偿</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离休费</w:t>
            </w:r>
          </w:p>
        </w:tc>
        <w:tc>
          <w:tcPr>
            <w:tcW w:w="1468"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培训费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8.40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公务用车购置</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退休费</w:t>
            </w:r>
          </w:p>
        </w:tc>
        <w:tc>
          <w:tcPr>
            <w:tcW w:w="1468"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公务接待费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0.33</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其他交通工具购置</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退职（役）费</w:t>
            </w:r>
          </w:p>
        </w:tc>
        <w:tc>
          <w:tcPr>
            <w:tcW w:w="1468"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专用材料费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0.04</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文物和陈列品购置</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抚恤金</w:t>
            </w:r>
          </w:p>
        </w:tc>
        <w:tc>
          <w:tcPr>
            <w:tcW w:w="1468"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被装购置费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无形资产购置</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生活补助</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4.72</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专用燃料费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其他资本性支出</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救济费</w:t>
            </w:r>
          </w:p>
        </w:tc>
        <w:tc>
          <w:tcPr>
            <w:tcW w:w="1468"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劳务费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0.12</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医疗费补助</w:t>
            </w:r>
          </w:p>
        </w:tc>
        <w:tc>
          <w:tcPr>
            <w:tcW w:w="1468"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委托业务费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赠与</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助学金</w:t>
            </w: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1.13</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工会经费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36.71</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国家赔偿费用支出</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奖励金</w:t>
            </w:r>
          </w:p>
        </w:tc>
        <w:tc>
          <w:tcPr>
            <w:tcW w:w="1468" w:type="dxa"/>
            <w:tcBorders>
              <w:top w:val="nil"/>
              <w:left w:val="nil"/>
              <w:bottom w:val="single" w:color="auto" w:sz="8" w:space="0"/>
              <w:right w:val="single" w:color="auto" w:sz="8" w:space="0"/>
            </w:tcBorders>
            <w:shd w:val="clear" w:color="auto" w:fill="auto"/>
            <w:noWra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福利费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0.52</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对民间非营利组织和群众性自治组织补贴</w:t>
            </w:r>
          </w:p>
        </w:tc>
        <w:tc>
          <w:tcPr>
            <w:tcW w:w="1568" w:type="dxa"/>
            <w:tcBorders>
              <w:top w:val="nil"/>
              <w:left w:val="nil"/>
              <w:bottom w:val="single" w:color="auto" w:sz="8" w:space="0"/>
              <w:right w:val="single" w:color="auto" w:sz="8" w:space="0"/>
            </w:tcBorders>
            <w:shd w:val="clear" w:color="auto" w:fill="auto"/>
            <w:noWrap/>
            <w:vAlign w:val="top"/>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个人农业生产补贴</w:t>
            </w:r>
          </w:p>
        </w:tc>
        <w:tc>
          <w:tcPr>
            <w:tcW w:w="1468" w:type="dxa"/>
            <w:tcBorders>
              <w:top w:val="nil"/>
              <w:left w:val="nil"/>
              <w:bottom w:val="single" w:color="auto" w:sz="8" w:space="0"/>
              <w:right w:val="single" w:color="auto" w:sz="8" w:space="0"/>
            </w:tcBorders>
            <w:shd w:val="clear" w:color="auto" w:fill="auto"/>
            <w:noWra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公务用车运行维护费</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568" w:type="dxa"/>
            <w:tcBorders>
              <w:top w:val="nil"/>
              <w:left w:val="nil"/>
              <w:bottom w:val="single" w:color="auto" w:sz="8" w:space="0"/>
              <w:right w:val="single" w:color="auto" w:sz="8" w:space="0"/>
            </w:tcBorders>
            <w:shd w:val="clear" w:color="auto" w:fill="auto"/>
            <w:noWrap/>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694" w:type="dxa"/>
            <w:tcBorders>
              <w:top w:val="single" w:color="auto" w:sz="8" w:space="0"/>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对其他个人和家庭的补助支出</w:t>
            </w:r>
          </w:p>
        </w:tc>
        <w:tc>
          <w:tcPr>
            <w:tcW w:w="1468" w:type="dxa"/>
            <w:tcBorders>
              <w:top w:val="single" w:color="auto" w:sz="8" w:space="0"/>
              <w:left w:val="nil"/>
              <w:bottom w:val="single" w:color="auto" w:sz="8" w:space="0"/>
              <w:right w:val="single" w:color="auto" w:sz="8" w:space="0"/>
            </w:tcBorders>
            <w:shd w:val="clear" w:color="auto" w:fill="auto"/>
            <w:noWra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w:t>
            </w:r>
          </w:p>
        </w:tc>
        <w:tc>
          <w:tcPr>
            <w:tcW w:w="1110" w:type="dxa"/>
            <w:tcBorders>
              <w:top w:val="single" w:color="auto" w:sz="8" w:space="0"/>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099" w:type="dxa"/>
            <w:tcBorders>
              <w:top w:val="single" w:color="auto" w:sz="8" w:space="0"/>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其他交通费用</w:t>
            </w:r>
          </w:p>
        </w:tc>
        <w:tc>
          <w:tcPr>
            <w:tcW w:w="1276" w:type="dxa"/>
            <w:tcBorders>
              <w:top w:val="single" w:color="auto" w:sz="8" w:space="0"/>
              <w:left w:val="nil"/>
              <w:bottom w:val="single" w:color="auto" w:sz="8" w:space="0"/>
              <w:right w:val="single" w:color="auto" w:sz="8" w:space="0"/>
            </w:tcBorders>
            <w:shd w:val="clear" w:color="auto" w:fill="auto"/>
            <w:noWra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w:t>
            </w:r>
          </w:p>
        </w:tc>
        <w:tc>
          <w:tcPr>
            <w:tcW w:w="854" w:type="dxa"/>
            <w:tcBorders>
              <w:top w:val="single" w:color="auto" w:sz="8" w:space="0"/>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3682" w:type="dxa"/>
            <w:tcBorders>
              <w:top w:val="single" w:color="auto" w:sz="8" w:space="0"/>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56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税金及附加费用</w:t>
            </w:r>
          </w:p>
        </w:tc>
        <w:tc>
          <w:tcPr>
            <w:tcW w:w="1276" w:type="dxa"/>
            <w:tcBorders>
              <w:top w:val="nil"/>
              <w:left w:val="nil"/>
              <w:bottom w:val="single" w:color="auto" w:sz="8" w:space="0"/>
              <w:right w:val="single" w:color="auto" w:sz="8" w:space="0"/>
            </w:tcBorders>
            <w:shd w:val="clear" w:color="auto" w:fill="auto"/>
            <w:noWra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56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26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468"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099"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其他商品和服务支出</w:t>
            </w:r>
          </w:p>
        </w:tc>
        <w:tc>
          <w:tcPr>
            <w:tcW w:w="1276"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2.27</w:t>
            </w:r>
          </w:p>
        </w:tc>
        <w:tc>
          <w:tcPr>
            <w:tcW w:w="85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3682"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56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3843"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468"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641.12</w:t>
            </w:r>
          </w:p>
        </w:tc>
        <w:tc>
          <w:tcPr>
            <w:tcW w:w="9021"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568"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94.90</w:t>
            </w:r>
          </w:p>
        </w:tc>
      </w:tr>
    </w:tbl>
    <w:p>
      <w:pPr>
        <w:widowControl/>
        <w:jc w:val="center"/>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3965" w:hanging="13965" w:hangingChars="66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新田县云梯学校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0.33</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新田县云梯学校</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kern w:val="0"/>
          <w:szCs w:val="21"/>
          <w:lang w:eastAsia="zh-CN"/>
        </w:rPr>
        <w:t>：</w:t>
      </w:r>
      <w:r>
        <w:rPr>
          <w:rFonts w:hint="eastAsia" w:ascii="Times New Roman" w:hAnsi="Times New Roman" w:eastAsia="仿宋_GB2312" w:cs="Times New Roman"/>
          <w:kern w:val="0"/>
          <w:szCs w:val="21"/>
        </w:rPr>
        <w:t>新田县云梯学校没有政府性基金收入，也没有使用政府性基金安排的支出，故本表无数据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rPr>
          <w:rFonts w:hint="eastAsia" w:ascii="宋体" w:hAnsi="宋体" w:eastAsia="宋体" w:cs="宋体"/>
          <w:b/>
          <w:bCs/>
          <w:color w:val="333333"/>
          <w:sz w:val="36"/>
          <w:szCs w:val="36"/>
          <w:shd w:val="clear" w:color="auto" w:fill="FFFFFF"/>
        </w:rPr>
      </w:pPr>
    </w:p>
    <w:p>
      <w:pPr>
        <w:widowControl/>
        <w:rPr>
          <w:rFonts w:hint="eastAsia" w:ascii="宋体" w:hAnsi="宋体" w:eastAsia="宋体" w:cs="宋体"/>
          <w:b/>
          <w:bCs/>
          <w:color w:val="333333"/>
          <w:sz w:val="36"/>
          <w:szCs w:val="36"/>
          <w:shd w:val="clear" w:color="auto" w:fill="FFFFFF"/>
        </w:rPr>
      </w:pPr>
    </w:p>
    <w:p>
      <w:pPr>
        <w:widowControl/>
        <w:rPr>
          <w:rFonts w:hint="eastAsia" w:ascii="宋体" w:hAnsi="宋体" w:eastAsia="宋体" w:cs="宋体"/>
          <w:b/>
          <w:bCs/>
          <w:color w:val="333333"/>
          <w:sz w:val="36"/>
          <w:szCs w:val="36"/>
          <w:shd w:val="clear" w:color="auto" w:fill="FFFFFF"/>
        </w:rPr>
      </w:pPr>
    </w:p>
    <w:p>
      <w:pPr>
        <w:widowControl/>
        <w:rPr>
          <w:rFonts w:ascii="宋体" w:hAnsi="宋体" w:eastAsia="宋体" w:cs="宋体"/>
          <w:b/>
          <w:bCs/>
          <w:color w:val="333333"/>
          <w:sz w:val="36"/>
          <w:szCs w:val="36"/>
          <w:shd w:val="clear" w:color="auto" w:fill="FFFFFF"/>
        </w:rPr>
      </w:pPr>
    </w:p>
    <w:tbl>
      <w:tblPr>
        <w:tblStyle w:val="5"/>
        <w:tblW w:w="14283" w:type="dxa"/>
        <w:tblInd w:w="0" w:type="dxa"/>
        <w:tblLayout w:type="autofit"/>
        <w:tblCellMar>
          <w:top w:w="0" w:type="dxa"/>
          <w:left w:w="108" w:type="dxa"/>
          <w:bottom w:w="0" w:type="dxa"/>
          <w:right w:w="108" w:type="dxa"/>
        </w:tblCellMar>
      </w:tblPr>
      <w:tblGrid>
        <w:gridCol w:w="93"/>
        <w:gridCol w:w="967"/>
        <w:gridCol w:w="93"/>
        <w:gridCol w:w="467"/>
        <w:gridCol w:w="93"/>
        <w:gridCol w:w="1089"/>
        <w:gridCol w:w="2033"/>
        <w:gridCol w:w="93"/>
        <w:gridCol w:w="1132"/>
        <w:gridCol w:w="93"/>
        <w:gridCol w:w="1326"/>
        <w:gridCol w:w="1201"/>
        <w:gridCol w:w="93"/>
        <w:gridCol w:w="1683"/>
        <w:gridCol w:w="3734"/>
        <w:gridCol w:w="93"/>
      </w:tblGrid>
      <w:tr>
        <w:tblPrEx>
          <w:tblCellMar>
            <w:top w:w="0" w:type="dxa"/>
            <w:left w:w="108" w:type="dxa"/>
            <w:bottom w:w="0" w:type="dxa"/>
            <w:right w:w="108" w:type="dxa"/>
          </w:tblCellMar>
        </w:tblPrEx>
        <w:trPr>
          <w:gridBefore w:val="1"/>
          <w:wBefore w:w="93" w:type="dxa"/>
          <w:trHeight w:val="720" w:hRule="atLeast"/>
        </w:trPr>
        <w:tc>
          <w:tcPr>
            <w:tcW w:w="14190" w:type="dxa"/>
            <w:gridSpan w:val="15"/>
            <w:tcBorders>
              <w:top w:val="nil"/>
              <w:left w:val="nil"/>
              <w:bottom w:val="nil"/>
              <w:right w:val="nil"/>
            </w:tcBorders>
            <w:shd w:val="clear" w:color="000000" w:fill="FFFFFF"/>
            <w:vAlign w:val="center"/>
          </w:tcPr>
          <w:p>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rPr>
              <w:t>国有资本经营预算财政拨款支出决算表</w:t>
            </w:r>
          </w:p>
          <w:p>
            <w:pPr>
              <w:widowControl/>
              <w:rPr>
                <w:rFonts w:ascii="华文中宋" w:hAnsi="华文中宋" w:eastAsia="华文中宋" w:cs="宋体"/>
                <w:kern w:val="0"/>
                <w:szCs w:val="21"/>
              </w:rPr>
            </w:pPr>
            <w:r>
              <w:rPr>
                <w:rFonts w:hint="eastAsia" w:ascii="华文中宋" w:hAnsi="华文中宋" w:eastAsia="华文中宋" w:cs="宋体"/>
                <w:kern w:val="0"/>
                <w:szCs w:val="21"/>
              </w:rPr>
              <w:t>部门：新田县云梯学校</w:t>
            </w:r>
          </w:p>
        </w:tc>
      </w:tr>
      <w:tr>
        <w:tblPrEx>
          <w:tblCellMar>
            <w:top w:w="0" w:type="dxa"/>
            <w:left w:w="108" w:type="dxa"/>
            <w:bottom w:w="0" w:type="dxa"/>
            <w:right w:w="108" w:type="dxa"/>
          </w:tblCellMar>
        </w:tblPrEx>
        <w:trPr>
          <w:gridBefore w:val="1"/>
          <w:wBefore w:w="93" w:type="dxa"/>
          <w:trHeight w:val="285" w:hRule="atLeast"/>
        </w:trPr>
        <w:tc>
          <w:tcPr>
            <w:tcW w:w="1060"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3"/>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3"/>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3"/>
            <w:tcBorders>
              <w:top w:val="nil"/>
              <w:left w:val="nil"/>
              <w:bottom w:val="nil"/>
              <w:right w:val="nil"/>
            </w:tcBorders>
            <w:shd w:val="clear" w:color="000000" w:fill="FFFFFF"/>
            <w:noWrap/>
            <w:vAlign w:val="center"/>
          </w:tcPr>
          <w:p>
            <w:pPr>
              <w:widowControl/>
              <w:ind w:right="10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gridAfter w:val="1"/>
          <w:wAfter w:w="93" w:type="dxa"/>
          <w:trHeight w:val="285" w:hRule="atLeast"/>
        </w:trPr>
        <w:tc>
          <w:tcPr>
            <w:tcW w:w="1060"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560"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3"/>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3"/>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Before w:val="1"/>
          <w:wBefore w:w="93" w:type="dxa"/>
          <w:trHeight w:val="402" w:hRule="atLeast"/>
        </w:trPr>
        <w:tc>
          <w:tcPr>
            <w:tcW w:w="4835" w:type="dxa"/>
            <w:gridSpan w:val="7"/>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8"/>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gridBefore w:val="1"/>
          <w:wBefore w:w="93" w:type="dxa"/>
          <w:trHeight w:val="402" w:hRule="atLeast"/>
        </w:trPr>
        <w:tc>
          <w:tcPr>
            <w:tcW w:w="2709" w:type="dxa"/>
            <w:gridSpan w:val="5"/>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gridBefore w:val="1"/>
          <w:wBefore w:w="93" w:type="dxa"/>
          <w:trHeight w:val="402" w:hRule="atLeast"/>
        </w:trPr>
        <w:tc>
          <w:tcPr>
            <w:tcW w:w="2709" w:type="dxa"/>
            <w:gridSpan w:val="5"/>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Before w:val="1"/>
          <w:wBefore w:w="93" w:type="dxa"/>
          <w:trHeight w:val="402" w:hRule="atLeast"/>
        </w:trPr>
        <w:tc>
          <w:tcPr>
            <w:tcW w:w="2709" w:type="dxa"/>
            <w:gridSpan w:val="5"/>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Before w:val="1"/>
          <w:wBefore w:w="93" w:type="dxa"/>
          <w:trHeight w:val="402" w:hRule="atLeast"/>
        </w:trPr>
        <w:tc>
          <w:tcPr>
            <w:tcW w:w="4835" w:type="dxa"/>
            <w:gridSpan w:val="7"/>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gridBefore w:val="1"/>
          <w:wBefore w:w="93" w:type="dxa"/>
          <w:trHeight w:val="402" w:hRule="atLeast"/>
        </w:trPr>
        <w:tc>
          <w:tcPr>
            <w:tcW w:w="4835" w:type="dxa"/>
            <w:gridSpan w:val="7"/>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Before w:val="1"/>
          <w:wBefore w:w="93" w:type="dxa"/>
          <w:trHeight w:val="402" w:hRule="atLeast"/>
        </w:trPr>
        <w:tc>
          <w:tcPr>
            <w:tcW w:w="1620"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Before w:val="1"/>
          <w:wBefore w:w="93" w:type="dxa"/>
          <w:trHeight w:val="402" w:hRule="atLeast"/>
        </w:trPr>
        <w:tc>
          <w:tcPr>
            <w:tcW w:w="1620"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Before w:val="1"/>
          <w:wBefore w:w="93" w:type="dxa"/>
          <w:trHeight w:val="402" w:hRule="atLeast"/>
        </w:trPr>
        <w:tc>
          <w:tcPr>
            <w:tcW w:w="1620"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Before w:val="1"/>
          <w:wBefore w:w="93" w:type="dxa"/>
          <w:trHeight w:val="402" w:hRule="atLeast"/>
        </w:trPr>
        <w:tc>
          <w:tcPr>
            <w:tcW w:w="1620"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Before w:val="1"/>
          <w:wBefore w:w="93" w:type="dxa"/>
          <w:trHeight w:val="402" w:hRule="atLeast"/>
        </w:trPr>
        <w:tc>
          <w:tcPr>
            <w:tcW w:w="1620"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Before w:val="1"/>
          <w:wBefore w:w="93" w:type="dxa"/>
          <w:trHeight w:val="402" w:hRule="atLeast"/>
        </w:trPr>
        <w:tc>
          <w:tcPr>
            <w:tcW w:w="1620"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3"/>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3"/>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Before w:val="1"/>
          <w:wBefore w:w="93" w:type="dxa"/>
          <w:trHeight w:val="720" w:hRule="atLeast"/>
        </w:trPr>
        <w:tc>
          <w:tcPr>
            <w:tcW w:w="14190" w:type="dxa"/>
            <w:gridSpan w:val="15"/>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tbl>
      <w:tblPr>
        <w:tblStyle w:val="5"/>
        <w:tblW w:w="8715" w:type="dxa"/>
        <w:tblInd w:w="0"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r>
    </w:tbl>
    <w:p>
      <w:r>
        <w:rPr>
          <w:rFonts w:hint="eastAsia"/>
        </w:rPr>
        <w:t xml:space="preserve">     </w:t>
      </w:r>
    </w:p>
    <w:p>
      <w:pPr>
        <w:widowControl/>
        <w:jc w:val="left"/>
        <w:rPr>
          <w:rFonts w:ascii="仿宋" w:hAnsi="仿宋" w:eastAsia="仿宋" w:cs="仿宋"/>
          <w:kern w:val="0"/>
          <w:szCs w:val="21"/>
        </w:rPr>
      </w:pPr>
      <w:r>
        <w:rPr>
          <w:rFonts w:hint="eastAsia"/>
        </w:rPr>
        <w:tab/>
      </w:r>
      <w:r>
        <w:rPr>
          <w:rFonts w:hint="eastAsia" w:ascii="仿宋" w:hAnsi="仿宋" w:eastAsia="仿宋" w:cs="仿宋"/>
          <w:kern w:val="0"/>
          <w:szCs w:val="21"/>
        </w:rPr>
        <w:t>(若本单位无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,请说明：新田县云梯学校无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，故本表无数据)。</w:t>
      </w:r>
    </w:p>
    <w:p>
      <w:pPr>
        <w:tabs>
          <w:tab w:val="left" w:pos="1460"/>
        </w:tabs>
        <w:jc w:val="left"/>
        <w:rPr>
          <w:szCs w:val="21"/>
        </w:rPr>
        <w:sectPr>
          <w:pgSz w:w="16838" w:h="11906" w:orient="landscape"/>
          <w:pgMar w:top="720" w:right="720" w:bottom="720" w:left="720" w:header="851" w:footer="992" w:gutter="0"/>
          <w:cols w:space="425" w:num="1"/>
          <w:docGrid w:type="lines" w:linePitch="312" w:charSpace="0"/>
        </w:sectPr>
      </w:pPr>
    </w:p>
    <w:p>
      <w:pPr>
        <w:pStyle w:val="7"/>
        <w:rPr>
          <w:sz w:val="32"/>
          <w:szCs w:val="32"/>
        </w:rPr>
      </w:pPr>
      <w:r>
        <w:rPr>
          <w:rFonts w:hint="eastAsia"/>
          <w:sz w:val="32"/>
          <w:szCs w:val="32"/>
        </w:rPr>
        <w:t>第三部分 2021年度部门决算情况说明</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 年度收入总计736.02万元，支出总计736.02万元。与2020年相比，收入增加9.67万元，增加1.33%，支出增加35.46万元，增加5.06%。主要是因为：学校扩班，人员增加，学校的各项开支增大。</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本年收入合计736.02万元，其中：财政拨款收入710.23万元，占96%；上级补助收入0万元，占0%；事业收入0元，占0%；经营收入0万元，占0%；附属单位上缴收入0万元，占0%；其他收入0万元，占0%。</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本年支出合计736.02万元，其中：基本支出736.02万元，占100%；项目支出0万元，占0%；上缴上级支出0万元，占0%；经营支出0万元，占0%；对附属单位补助支出0万元，占0%。</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2021 年度</w:t>
      </w:r>
      <w:r>
        <w:rPr>
          <w:rFonts w:hint="eastAsia" w:asciiTheme="minorEastAsia" w:hAnsiTheme="minorEastAsia" w:eastAsiaTheme="minorEastAsia" w:cstheme="minorEastAsia"/>
          <w:sz w:val="28"/>
          <w:szCs w:val="28"/>
          <w:lang w:eastAsia="zh-CN"/>
        </w:rPr>
        <w:t>财政拨款</w:t>
      </w:r>
      <w:r>
        <w:rPr>
          <w:rFonts w:hint="eastAsia" w:asciiTheme="minorEastAsia" w:hAnsiTheme="minorEastAsia" w:eastAsiaTheme="minorEastAsia" w:cstheme="minorEastAsia"/>
          <w:sz w:val="28"/>
          <w:szCs w:val="28"/>
        </w:rPr>
        <w:t>收入总计736.02万元，</w:t>
      </w:r>
      <w:r>
        <w:rPr>
          <w:rFonts w:hint="eastAsia" w:asciiTheme="minorEastAsia" w:hAnsiTheme="minorEastAsia" w:eastAsiaTheme="minorEastAsia" w:cstheme="minorEastAsia"/>
          <w:sz w:val="28"/>
          <w:szCs w:val="28"/>
          <w:lang w:eastAsia="zh-CN"/>
        </w:rPr>
        <w:t>财政拨款</w:t>
      </w:r>
      <w:r>
        <w:rPr>
          <w:rFonts w:hint="eastAsia" w:asciiTheme="minorEastAsia" w:hAnsiTheme="minorEastAsia" w:eastAsiaTheme="minorEastAsia" w:cstheme="minorEastAsia"/>
          <w:sz w:val="28"/>
          <w:szCs w:val="28"/>
        </w:rPr>
        <w:t>支出总计736.02万元。与2020年相比，收入增加9.67万元，增加1.33%，支出增加35.46万元，增加5.06%。主要是因为：学校扩班，人员增加，学校的各项开支增大。</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7"/>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7"/>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2021年度财政拨款支出736.02万元，占本年支出合计的100%，与2020年相比，财政拨款支出增加35.46万元，增长5.06%，主要是因为工资福利支出增加，工会经费增加，办公费增加。</w:t>
      </w:r>
    </w:p>
    <w:p>
      <w:pPr>
        <w:pStyle w:val="7"/>
        <w:ind w:firstLine="420" w:firstLineChars="1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2021年度财政拨款支出736.02万元，主要用于以下方面：一般公共服务（类）支出0万元，占0%；教育（类）支出736.02万元，占100%.</w:t>
      </w:r>
    </w:p>
    <w:p>
      <w:pPr>
        <w:pStyle w:val="7"/>
        <w:ind w:firstLine="700" w:firstLineChars="2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7"/>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2021年度财政拨款支出年初预算数为736.02万元，支出决算数为736.02万元，完成年初预算的100%，其中：</w:t>
      </w:r>
    </w:p>
    <w:p>
      <w:pPr>
        <w:pStyle w:val="7"/>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教育支出</w:t>
      </w:r>
      <w:r>
        <w:rPr>
          <w:rFonts w:hint="eastAsia" w:asciiTheme="minorEastAsia" w:hAnsiTheme="minorEastAsia" w:eastAsiaTheme="minorEastAsia" w:cstheme="minorEastAsia"/>
          <w:sz w:val="28"/>
          <w:szCs w:val="28"/>
        </w:rPr>
        <w:t>（类）</w:t>
      </w:r>
      <w:r>
        <w:rPr>
          <w:rFonts w:hint="eastAsia" w:asciiTheme="minorEastAsia" w:hAnsiTheme="minorEastAsia" w:eastAsiaTheme="minorEastAsia" w:cstheme="minorEastAsia"/>
          <w:sz w:val="28"/>
          <w:szCs w:val="28"/>
          <w:lang w:eastAsia="zh-CN"/>
        </w:rPr>
        <w:t>普通教育</w:t>
      </w:r>
      <w:r>
        <w:rPr>
          <w:rFonts w:hint="eastAsia" w:asciiTheme="minorEastAsia" w:hAnsiTheme="minorEastAsia" w:eastAsiaTheme="minorEastAsia" w:cstheme="minorEastAsia"/>
          <w:sz w:val="28"/>
          <w:szCs w:val="28"/>
        </w:rPr>
        <w:t>（款）</w:t>
      </w:r>
      <w:r>
        <w:rPr>
          <w:rFonts w:hint="eastAsia" w:asciiTheme="minorEastAsia" w:hAnsiTheme="minorEastAsia" w:eastAsiaTheme="minorEastAsia" w:cstheme="minorEastAsia"/>
          <w:sz w:val="28"/>
          <w:szCs w:val="28"/>
          <w:lang w:eastAsia="zh-CN"/>
        </w:rPr>
        <w:t>初中教育</w:t>
      </w:r>
      <w:r>
        <w:rPr>
          <w:rFonts w:hint="eastAsia" w:asciiTheme="minorEastAsia" w:hAnsiTheme="minorEastAsia" w:eastAsiaTheme="minorEastAsia" w:cstheme="minorEastAsia"/>
          <w:sz w:val="28"/>
          <w:szCs w:val="28"/>
        </w:rPr>
        <w:t>（项）。</w:t>
      </w:r>
    </w:p>
    <w:p>
      <w:pPr>
        <w:pStyle w:val="7"/>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736.02</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736.02</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基本支出736.02万元，其中：人员经费641.12万元，占基本支出的87%,主要包括基本工资、津贴补贴、奖金、伙食补助费、绩效工资等；公用经费94.90万元，占基本支出的13%，主要包括办公费、印刷费、咨询费、手续费、工会经费等。</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7"/>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“三公”经费财政拨款支出预算为0.33万元，支出决算为0.33万元，完成预算的100%，其中：</w:t>
      </w:r>
    </w:p>
    <w:p>
      <w:pPr>
        <w:pStyle w:val="7"/>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因公出国（境）费支出预算为0万元，支出决算为0万元，因预算数为0，无法计算预算完成百分比。决算数与预算数一致，与上年相比持平。原因是上年及本年均无出国出境情况，无相关费用支出。</w:t>
      </w:r>
    </w:p>
    <w:p>
      <w:pPr>
        <w:pStyle w:val="7"/>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公务接待费支出预算为0.33万元，支出决算为0.33万元，完成预算的100%，决算数等于年初预算数，与上年相比减少0.39万元，减少118%,减少的主要原因是减少了公务接待。</w:t>
      </w:r>
    </w:p>
    <w:p>
      <w:pPr>
        <w:pStyle w:val="7"/>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公务用车购置费及运行维护费支出预算为0万元，支出决算为0万元，因预算数为0，无法计算预算完成百分比。决算数与预算数一致，与上年相比持平。原因是本单位无公车。</w:t>
      </w:r>
      <w:bookmarkStart w:id="2" w:name="_GoBack"/>
      <w:bookmarkEnd w:id="2"/>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2021年度“三公”经费财政拨款支出决算中，公务接待费支出决算0.33万元，占100%,因公出国（境）费支出决算0万元，占0%,公务用车购置费及运行维护费支出决算0万元，占0%。其中：</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1、因公出国（境）费支出决算为0万元，全年安排因公出国（境）团组0个，累计0人次。</w:t>
      </w:r>
    </w:p>
    <w:p>
      <w:pPr>
        <w:pStyle w:val="7"/>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2、公务接待费支出决算为0.33万元，全年共接待来访团组10个、来宾90人次，主要是教改教研活动发生的接待支出。</w:t>
      </w:r>
    </w:p>
    <w:p>
      <w:pPr>
        <w:ind w:firstLine="700" w:firstLineChars="250"/>
        <w:rPr>
          <w:rFonts w:asciiTheme="minorEastAsia" w:hAnsiTheme="minorEastAsia" w:cstheme="minorEastAsia"/>
          <w:color w:val="000000"/>
          <w:kern w:val="0"/>
          <w:sz w:val="28"/>
          <w:szCs w:val="28"/>
        </w:rPr>
      </w:pPr>
      <w:r>
        <w:rPr>
          <w:rFonts w:hint="eastAsia" w:asciiTheme="minorEastAsia" w:hAnsiTheme="minorEastAsia" w:cstheme="minorEastAsia"/>
          <w:sz w:val="28"/>
          <w:szCs w:val="28"/>
        </w:rPr>
        <w:t>3、公务用车购置费及运行维护费支出决算为0万元，其中：公务用车购置费0万元，</w:t>
      </w:r>
      <w:r>
        <w:rPr>
          <w:rFonts w:hint="eastAsia" w:asciiTheme="minorEastAsia" w:hAnsiTheme="minorEastAsia" w:eastAsiaTheme="minorEastAsia" w:cstheme="minorEastAsia"/>
          <w:sz w:val="28"/>
          <w:szCs w:val="28"/>
        </w:rPr>
        <w:t>更新公务用车</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公务用车运行维护费0万元</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截止</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r>
        <w:rPr>
          <w:rFonts w:hint="eastAsia" w:asciiTheme="minorEastAsia" w:hAnsiTheme="minorEastAsia" w:cstheme="minorEastAsia"/>
          <w:sz w:val="28"/>
          <w:szCs w:val="28"/>
        </w:rPr>
        <w:t>。</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2021年度本单位无政府性基金预算收入支出</w:t>
      </w:r>
    </w:p>
    <w:p>
      <w:pPr>
        <w:pStyle w:val="7"/>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7"/>
        <w:rPr>
          <w:rFonts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2021年度本单位无国有资本经营预算财政拨款支出</w:t>
      </w:r>
    </w:p>
    <w:p>
      <w:pPr>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w:t>
      </w:r>
      <w:r>
        <w:rPr>
          <w:rFonts w:hint="eastAsia" w:asciiTheme="minorEastAsia" w:hAnsiTheme="minorEastAsia" w:cstheme="minorEastAsia"/>
          <w:b/>
          <w:color w:val="000000"/>
          <w:kern w:val="0"/>
          <w:sz w:val="28"/>
          <w:szCs w:val="28"/>
        </w:rPr>
        <w:t>机关运行经费支出情况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本部门2021 年度机关运行经费支出94.90万元。比年初预算减少</w:t>
      </w:r>
      <w:r>
        <w:rPr>
          <w:rFonts w:hint="eastAsia" w:asciiTheme="minorEastAsia" w:hAnsiTheme="minorEastAsia" w:cstheme="minorEastAsia"/>
          <w:color w:val="000000"/>
          <w:kern w:val="0"/>
          <w:sz w:val="28"/>
          <w:szCs w:val="28"/>
          <w:lang w:val="en-US" w:eastAsia="zh-CN"/>
        </w:rPr>
        <w:t>5.1万元，减少5.1%</w:t>
      </w:r>
      <w:r>
        <w:rPr>
          <w:rFonts w:hint="eastAsia" w:asciiTheme="minorEastAsia" w:hAnsiTheme="minorEastAsia" w:cstheme="minorEastAsia"/>
          <w:color w:val="000000"/>
          <w:kern w:val="0"/>
          <w:sz w:val="28"/>
          <w:szCs w:val="28"/>
        </w:rPr>
        <w:t>，主要原因是：严格遵照预算，节约各项开支。</w:t>
      </w:r>
    </w:p>
    <w:p>
      <w:pPr>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十一、</w:t>
      </w:r>
      <w:r>
        <w:rPr>
          <w:rFonts w:hint="eastAsia" w:asciiTheme="minorEastAsia" w:hAnsiTheme="minorEastAsia" w:cstheme="minorEastAsia"/>
          <w:b/>
          <w:color w:val="000000"/>
          <w:kern w:val="0"/>
          <w:sz w:val="28"/>
          <w:szCs w:val="28"/>
        </w:rPr>
        <w:t>一般性支出情况</w:t>
      </w:r>
    </w:p>
    <w:p>
      <w:pPr>
        <w:ind w:firstLine="560" w:firstLineChars="200"/>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rPr>
        <w:t>2021年本部门开支会议费0万元</w:t>
      </w:r>
      <w:r>
        <w:rPr>
          <w:rFonts w:hint="eastAsia" w:asciiTheme="minorEastAsia" w:hAnsiTheme="minorEastAsia" w:cstheme="minorEastAsia"/>
          <w:color w:val="000000"/>
          <w:kern w:val="0"/>
          <w:sz w:val="28"/>
          <w:szCs w:val="28"/>
          <w:lang w:eastAsia="zh-CN"/>
        </w:rPr>
        <w:t>，人数</w:t>
      </w:r>
      <w:r>
        <w:rPr>
          <w:rFonts w:hint="eastAsia" w:asciiTheme="minorEastAsia" w:hAnsiTheme="minorEastAsia" w:cstheme="minorEastAsia"/>
          <w:color w:val="000000"/>
          <w:kern w:val="0"/>
          <w:sz w:val="28"/>
          <w:szCs w:val="28"/>
          <w:lang w:val="en-US" w:eastAsia="zh-CN"/>
        </w:rPr>
        <w:t>0人</w:t>
      </w:r>
      <w:r>
        <w:rPr>
          <w:rFonts w:hint="eastAsia" w:asciiTheme="minorEastAsia" w:hAnsiTheme="minorEastAsia" w:cstheme="minorEastAsia"/>
          <w:color w:val="000000"/>
          <w:kern w:val="0"/>
          <w:sz w:val="28"/>
          <w:szCs w:val="28"/>
        </w:rPr>
        <w:t>；开支培训费8.40万元，用于开展老师培训，教学研究、文体活动的开支</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rPr>
        <w:t>培训教师人数260人，内容为教师教学能力提升、素质等方面培训</w:t>
      </w:r>
      <w:r>
        <w:rPr>
          <w:rFonts w:hint="eastAsia" w:asciiTheme="minorEastAsia" w:hAnsiTheme="minorEastAsia" w:cstheme="minorEastAsia"/>
          <w:color w:val="000000"/>
          <w:kern w:val="0"/>
          <w:sz w:val="28"/>
          <w:szCs w:val="28"/>
          <w:lang w:eastAsia="zh-CN"/>
        </w:rPr>
        <w:t>；未举办</w:t>
      </w:r>
      <w:r>
        <w:rPr>
          <w:rFonts w:hint="eastAsia" w:asciiTheme="minorEastAsia" w:hAnsiTheme="minorEastAsia" w:cstheme="minorEastAsia"/>
          <w:color w:val="000000"/>
          <w:kern w:val="0"/>
          <w:sz w:val="28"/>
          <w:szCs w:val="28"/>
        </w:rPr>
        <w:t>节庆、晚会、论坛、赛事活动，开支</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cstheme="minorEastAsia"/>
          <w:color w:val="000000"/>
          <w:kern w:val="0"/>
          <w:sz w:val="28"/>
          <w:szCs w:val="28"/>
        </w:rPr>
        <w:t>万元</w:t>
      </w:r>
      <w:r>
        <w:rPr>
          <w:rFonts w:hint="eastAsia" w:asciiTheme="minorEastAsia" w:hAnsiTheme="minorEastAsia" w:cstheme="minorEastAsia"/>
          <w:color w:val="000000"/>
          <w:kern w:val="0"/>
          <w:sz w:val="28"/>
          <w:szCs w:val="28"/>
          <w:lang w:eastAsia="zh-CN"/>
        </w:rPr>
        <w:t>。</w:t>
      </w:r>
    </w:p>
    <w:p>
      <w:pPr>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十二、政府采购支出情况</w:t>
      </w:r>
    </w:p>
    <w:p>
      <w:pPr>
        <w:ind w:firstLine="560" w:firstLineChars="200"/>
        <w:rPr>
          <w:rFonts w:asciiTheme="minorEastAsia" w:hAnsiTheme="minorEastAsia" w:cstheme="minorEastAsia"/>
          <w:i/>
          <w:color w:val="FF0000"/>
          <w:kern w:val="0"/>
          <w:sz w:val="28"/>
          <w:szCs w:val="28"/>
        </w:rPr>
      </w:pPr>
      <w:r>
        <w:rPr>
          <w:rFonts w:hint="eastAsia" w:asciiTheme="minorEastAsia" w:hAnsiTheme="minorEastAsia" w:cstheme="minorEastAsia"/>
          <w:color w:val="000000"/>
          <w:kern w:val="0"/>
          <w:sz w:val="28"/>
          <w:szCs w:val="28"/>
        </w:rPr>
        <w:t>本部门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十三、国有资产占用情况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截至2021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pPr>
        <w:pStyle w:val="7"/>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rPr>
        <w:t>十四、</w:t>
      </w:r>
      <w:r>
        <w:rPr>
          <w:rFonts w:hint="eastAsia" w:asciiTheme="minorEastAsia" w:hAnsiTheme="minorEastAsia" w:eastAsiaTheme="minorEastAsia" w:cstheme="minorEastAsia"/>
          <w:b/>
          <w:sz w:val="28"/>
          <w:szCs w:val="28"/>
        </w:rPr>
        <w:t>2021年度预算绩效情况说明</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（1）绩效管理评价工作开展情况。</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根据预算绩效管理要求，我部门组织对2021 年度一般公共预算项目支出全面开展绩效自评，其中，一级项目</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个，二级项目</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 xml:space="preserve"> 个，共涉及资金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万元，占一般公共预算项目支出总额的</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%。组织对2021年度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个政府性基金预算项目支出开展绩效自评，共涉及资金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万元，占政府性基金预算项目支出总额的</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%。组织对2021 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 xml:space="preserve"> 个国有资本经营预算项目支出开展绩效自评，共涉及资金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万元，占国有资本经营预算项目支出总额的</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个项目开展了部门评价，涉及一般公共预算支出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万元，政府性基金预算支出XX 万元，国有资本经营预算支出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1</w:t>
      </w:r>
      <w:r>
        <w:rPr>
          <w:rFonts w:hint="eastAsia" w:cs="黑体" w:asciiTheme="minorEastAsia" w:hAnsiTheme="minorEastAsia"/>
          <w:color w:val="000000"/>
          <w:kern w:val="0"/>
          <w:sz w:val="28"/>
          <w:szCs w:val="28"/>
        </w:rPr>
        <w:t>个单位开展整体支出绩效评价，涉及一般公共预算支出</w:t>
      </w:r>
      <w:r>
        <w:rPr>
          <w:rFonts w:hint="eastAsia" w:cs="黑体" w:asciiTheme="minorEastAsia" w:hAnsiTheme="minorEastAsia"/>
          <w:color w:val="000000"/>
          <w:kern w:val="0"/>
          <w:sz w:val="28"/>
          <w:szCs w:val="28"/>
          <w:lang w:val="en-US" w:eastAsia="zh-CN"/>
        </w:rPr>
        <w:t>736.02</w:t>
      </w:r>
      <w:r>
        <w:rPr>
          <w:rFonts w:hint="eastAsia" w:cs="黑体" w:asciiTheme="minorEastAsia" w:hAnsiTheme="minorEastAsia"/>
          <w:color w:val="000000"/>
          <w:kern w:val="0"/>
          <w:sz w:val="28"/>
          <w:szCs w:val="28"/>
        </w:rPr>
        <w:t>万元，政府性基金预算支出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万元。从评价情况来看，2021年我单位整体支出资金使用符合政策要求，合理合法，使用有效，管理较规范，绩效管理工作开展情况良好。</w:t>
      </w:r>
    </w:p>
    <w:p>
      <w:pPr>
        <w:numPr>
          <w:ilvl w:val="0"/>
          <w:numId w:val="2"/>
        </w:num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部门决算中项目绩效自评结果（如有）。</w:t>
      </w:r>
    </w:p>
    <w:p>
      <w:pPr>
        <w:keepNext w:val="0"/>
        <w:keepLines w:val="0"/>
        <w:pageBreakBefore w:val="0"/>
        <w:widowControl w:val="0"/>
        <w:numPr>
          <w:ilvl w:val="0"/>
          <w:numId w:val="0"/>
        </w:numPr>
        <w:kinsoku/>
        <w:wordWrap/>
        <w:overflowPunct/>
        <w:topLinePunct w:val="0"/>
        <w:autoSpaceDE w:val="0"/>
        <w:autoSpaceDN w:val="0"/>
        <w:bidi w:val="0"/>
        <w:adjustRightInd w:val="0"/>
        <w:snapToGrid/>
        <w:ind w:firstLine="840" w:firstLineChars="300"/>
        <w:jc w:val="left"/>
        <w:textAlignment w:val="auto"/>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lang w:eastAsia="zh-CN"/>
        </w:rPr>
        <w:t>本单位无项目支出。</w:t>
      </w:r>
    </w:p>
    <w:p>
      <w:pPr>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jc w:val="left"/>
        <w:textAlignment w:val="auto"/>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lang w:eastAsia="zh-CN"/>
        </w:rPr>
        <w:t>（</w:t>
      </w:r>
      <w:r>
        <w:rPr>
          <w:rFonts w:hint="eastAsia" w:cs="黑体" w:asciiTheme="minorEastAsia" w:hAnsiTheme="minorEastAsia"/>
          <w:color w:val="000000"/>
          <w:kern w:val="0"/>
          <w:sz w:val="28"/>
          <w:szCs w:val="28"/>
          <w:lang w:val="en-US" w:eastAsia="zh-CN"/>
        </w:rPr>
        <w:t>3</w:t>
      </w:r>
      <w:r>
        <w:rPr>
          <w:rFonts w:hint="eastAsia" w:cs="黑体" w:asciiTheme="minorEastAsia" w:hAnsiTheme="minorEastAsia"/>
          <w:color w:val="000000"/>
          <w:kern w:val="0"/>
          <w:sz w:val="28"/>
          <w:szCs w:val="28"/>
          <w:lang w:eastAsia="zh-CN"/>
        </w:rPr>
        <w:t>）</w:t>
      </w:r>
      <w:r>
        <w:rPr>
          <w:rFonts w:hint="eastAsia" w:cs="黑体" w:asciiTheme="minorEastAsia" w:hAnsiTheme="minorEastAsia"/>
          <w:color w:val="000000"/>
          <w:kern w:val="0"/>
          <w:sz w:val="28"/>
          <w:szCs w:val="28"/>
        </w:rPr>
        <w:t>部门评价项目绩效评价结果。</w:t>
      </w:r>
    </w:p>
    <w:p>
      <w:pPr>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jc w:val="left"/>
        <w:textAlignment w:val="auto"/>
        <w:rPr>
          <w:rFonts w:hint="eastAsia"/>
          <w:sz w:val="28"/>
          <w:szCs w:val="28"/>
        </w:rPr>
      </w:pPr>
      <w:r>
        <w:rPr>
          <w:rFonts w:hint="eastAsia" w:cs="黑体" w:asciiTheme="minorEastAsia" w:hAnsiTheme="minorEastAsia"/>
          <w:color w:val="000000"/>
          <w:kern w:val="0"/>
          <w:sz w:val="28"/>
          <w:szCs w:val="28"/>
        </w:rPr>
        <w:t>因</w:t>
      </w:r>
      <w:r>
        <w:rPr>
          <w:sz w:val="28"/>
          <w:szCs w:val="28"/>
        </w:rPr>
        <w:t>无所属二级单位，也无项目支出，无需开展部门评价，因此无部门评价项目绩效评价结果</w:t>
      </w:r>
      <w:r>
        <w:rPr>
          <w:rFonts w:hint="eastAsia"/>
          <w:sz w:val="28"/>
          <w:szCs w:val="28"/>
        </w:rPr>
        <w:t>。</w:t>
      </w:r>
    </w:p>
    <w:p>
      <w:pPr>
        <w:numPr>
          <w:ilvl w:val="0"/>
          <w:numId w:val="0"/>
        </w:numPr>
        <w:autoSpaceDE w:val="0"/>
        <w:autoSpaceDN w:val="0"/>
        <w:adjustRightInd w:val="0"/>
        <w:jc w:val="left"/>
        <w:rPr>
          <w:rFonts w:asciiTheme="minorEastAsia" w:hAnsiTheme="minorEastAsia"/>
          <w:sz w:val="28"/>
          <w:szCs w:val="28"/>
        </w:rPr>
      </w:pPr>
      <w:r>
        <w:rPr>
          <w:rFonts w:hint="eastAsia" w:hAnsi="黑体"/>
          <w:sz w:val="32"/>
          <w:szCs w:val="32"/>
        </w:rPr>
        <w:t>第四部分 名词解释</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一、收入科目</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财政拨款收入：指财政当年拨付的资金。</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二、支出科目</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1.基本支出：指为保障机构正常运转、完成日常工作任务而发生的人员支出和公用支出。</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2.项目支出：指在基本支出之外为完成特定行政任务和事业发展目标所发生的支出。</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3.年末结转和结余：指本年度或以前年度预算安排、因客观条件发生变化无法按原计划实施，需延迟到以后年度按有关规定继续使用的资金。</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三、“三公”经费</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四、机关运行经费</w:t>
      </w:r>
    </w:p>
    <w:p>
      <w:pPr>
        <w:pStyle w:val="7"/>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7"/>
        <w:ind w:firstLine="640" w:firstLineChars="200"/>
        <w:jc w:val="both"/>
        <w:rPr>
          <w:rFonts w:hAnsi="黑体"/>
          <w:sz w:val="32"/>
          <w:szCs w:val="32"/>
        </w:rPr>
      </w:pPr>
      <w:r>
        <w:rPr>
          <w:rFonts w:hint="eastAsia" w:hAnsi="黑体"/>
          <w:sz w:val="32"/>
          <w:szCs w:val="32"/>
        </w:rPr>
        <w:t>第五部分 附件</w:t>
      </w:r>
    </w:p>
    <w:p>
      <w:pPr>
        <w:ind w:firstLine="560" w:firstLineChars="200"/>
        <w:jc w:val="center"/>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2021年度部门整体支出绩效评价报告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2D55A6"/>
    <w:multiLevelType w:val="singleLevel"/>
    <w:tmpl w:val="6E2D55A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6D3D59"/>
    <w:rsid w:val="00097CBC"/>
    <w:rsid w:val="00102957"/>
    <w:rsid w:val="0014039B"/>
    <w:rsid w:val="001832E9"/>
    <w:rsid w:val="00191396"/>
    <w:rsid w:val="001D2733"/>
    <w:rsid w:val="001D46DE"/>
    <w:rsid w:val="001E32E4"/>
    <w:rsid w:val="001E7493"/>
    <w:rsid w:val="002306C5"/>
    <w:rsid w:val="002771E7"/>
    <w:rsid w:val="00287EDF"/>
    <w:rsid w:val="002B7E1F"/>
    <w:rsid w:val="00317AA9"/>
    <w:rsid w:val="00360783"/>
    <w:rsid w:val="00373665"/>
    <w:rsid w:val="0038501A"/>
    <w:rsid w:val="003B3992"/>
    <w:rsid w:val="003E0792"/>
    <w:rsid w:val="003E6078"/>
    <w:rsid w:val="004A3A91"/>
    <w:rsid w:val="004D210B"/>
    <w:rsid w:val="00573FB0"/>
    <w:rsid w:val="0062778D"/>
    <w:rsid w:val="00641D2E"/>
    <w:rsid w:val="006437FF"/>
    <w:rsid w:val="00647281"/>
    <w:rsid w:val="006F6F2B"/>
    <w:rsid w:val="00762A39"/>
    <w:rsid w:val="00764B70"/>
    <w:rsid w:val="00771833"/>
    <w:rsid w:val="00775AF8"/>
    <w:rsid w:val="007A369B"/>
    <w:rsid w:val="008902D3"/>
    <w:rsid w:val="008B0E78"/>
    <w:rsid w:val="008E797E"/>
    <w:rsid w:val="00987E46"/>
    <w:rsid w:val="009F40BF"/>
    <w:rsid w:val="00AA6CE1"/>
    <w:rsid w:val="00B13DF8"/>
    <w:rsid w:val="00B44467"/>
    <w:rsid w:val="00C172AA"/>
    <w:rsid w:val="00C24314"/>
    <w:rsid w:val="00C81CC9"/>
    <w:rsid w:val="00D834F1"/>
    <w:rsid w:val="00DA3368"/>
    <w:rsid w:val="00DC1DC9"/>
    <w:rsid w:val="00DD3C43"/>
    <w:rsid w:val="00DE2759"/>
    <w:rsid w:val="00E23CD2"/>
    <w:rsid w:val="00E6399D"/>
    <w:rsid w:val="00E658EA"/>
    <w:rsid w:val="00E747FE"/>
    <w:rsid w:val="00E83AF0"/>
    <w:rsid w:val="00EE1E38"/>
    <w:rsid w:val="00F210C8"/>
    <w:rsid w:val="00F35E7C"/>
    <w:rsid w:val="00F4526F"/>
    <w:rsid w:val="00F541C1"/>
    <w:rsid w:val="00F75446"/>
    <w:rsid w:val="06983C28"/>
    <w:rsid w:val="07171C8C"/>
    <w:rsid w:val="0F7E3DFA"/>
    <w:rsid w:val="16E87BF9"/>
    <w:rsid w:val="17E11C14"/>
    <w:rsid w:val="196D3D59"/>
    <w:rsid w:val="2673563D"/>
    <w:rsid w:val="28830115"/>
    <w:rsid w:val="29BE60AB"/>
    <w:rsid w:val="2B3B2D4C"/>
    <w:rsid w:val="2F9874C3"/>
    <w:rsid w:val="36DC4165"/>
    <w:rsid w:val="383F5EE0"/>
    <w:rsid w:val="40294946"/>
    <w:rsid w:val="47FD5A57"/>
    <w:rsid w:val="4C8E2E4B"/>
    <w:rsid w:val="4F274D2D"/>
    <w:rsid w:val="5313200B"/>
    <w:rsid w:val="5753429D"/>
    <w:rsid w:val="627B167E"/>
    <w:rsid w:val="71062E85"/>
    <w:rsid w:val="790A7FD0"/>
    <w:rsid w:val="7C3A1A78"/>
    <w:rsid w:val="7E23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BE7C6-7E8E-4020-8C20-D9121F583435}">
  <ds:schemaRefs/>
</ds:datastoreItem>
</file>

<file path=docProps/app.xml><?xml version="1.0" encoding="utf-8"?>
<Properties xmlns="http://schemas.openxmlformats.org/officeDocument/2006/extended-properties" xmlns:vt="http://schemas.openxmlformats.org/officeDocument/2006/docPropsVTypes">
  <Template>Normal</Template>
  <Pages>17</Pages>
  <Words>1360</Words>
  <Characters>7754</Characters>
  <Lines>64</Lines>
  <Paragraphs>18</Paragraphs>
  <TotalTime>3</TotalTime>
  <ScaleCrop>false</ScaleCrop>
  <LinksUpToDate>false</LinksUpToDate>
  <CharactersWithSpaces>9096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Administrator</cp:lastModifiedBy>
  <cp:lastPrinted>2022-10-17T06:04:00Z</cp:lastPrinted>
  <dcterms:modified xsi:type="dcterms:W3CDTF">2023-09-25T08:40:07Z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