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2022年新田县交通运输局单位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收入总表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支出预算分类汇总表（按部门预算经济分类）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财政拨款收支总表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一般公共预算基本支出表--人员经费(工资福利支出)(按部门预算经济分类)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一般公共预算基本支出表--人员经费(对个人和家庭的补助)(按政府预算经济分类)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一般公共预算基本支出表--人员经费(对个人和家庭的补助)（按部门预算经济分类）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一般公共预算基本支出表--公用经费(商品和服务支出)(按部门预算经济分类)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一般公共预算“三公”经费支出表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政府性基金预算支出分类汇总表（按政府预算经济分类）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政府性基金预算支出分类汇总表（按部门预算经济分类）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国有资本经营预算表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财政专户管理资金预算支出表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 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 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 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1265" w:firstLineChars="350"/>
        <w:jc w:val="both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负责全县农村公路发展规划的制定及管理；为农村公路畅通提供养护与路政管理；负责公路、桥梁的测量、设计、预算、施工；公路行业信息管理及服务；公路桥梁工程的技术服务和技术咨询。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新田县公路管理站属交通运输局下属事业单位 ，资金来源是财政全额拨款，单独编制了部门决算并自行公开。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根据编委核定，本部门2021年人员编制 20人，实有在职人员 19人，退休人员 5人。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2022年部门预算即我单位本级预算。我单位2021年没有政府性基金预算拨款、国有资本经营预算收入和纳入专户管理的非税收入拨款收入，也没有使用政府性基金预算拨款、国有资本经营预算收入和纳入专户管理的非税收入拨款安排的支出，所以公开的附件 15、16、17、18、19表均为空。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收入包括经费拨款，也包括行政事业性收费收入和国有资源有偿使用收入；支出包括保障机关及所属事业单位基本运行的经费，也包括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危桥改造、生命安保工程、公路新建及维护、水毁工程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593.91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593.91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593.91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20.51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10.90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交通运输支出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547.46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15.04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593.91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20.51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10.90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交通运输支出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547.46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92.2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196.91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397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按项目管理的商品和服务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147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项目管理等方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资本性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250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工程建设等方面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593.91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</w:rPr>
        <w:t>对事业单位经常性补助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343.08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57.8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%；文</w:t>
      </w:r>
      <w:r>
        <w:rPr>
          <w:rFonts w:hint="eastAsia" w:eastAsia="仿宋_GB2312"/>
          <w:color w:val="auto"/>
          <w:sz w:val="32"/>
          <w:szCs w:val="32"/>
        </w:rPr>
        <w:t>对事业单位资本性补助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>250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42.1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对对个人和家庭的补助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0.83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2022年机关运行经费当年一般公共预算拨款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13.3 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万元，比2021年预算增加（或减少）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0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万元，增长（或下降）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0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%。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2022年“三公”经费预算数为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3.2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万元，其中，公务接待费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2.2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万元，公务用车购置及运行费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 1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万元（其中，公务用车购置费0万元，公务用车运行费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万元），因公出国（境）费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0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万元。2021年“三公”经费预算较2020年减少</w:t>
      </w:r>
      <w:r>
        <w:rPr>
          <w:rFonts w:hint="eastAsia" w:ascii="仿宋" w:hAnsi="仿宋" w:eastAsia="仿宋" w:cs="仿宋"/>
          <w:i w:val="0"/>
          <w:iCs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0.1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  <w:t>万元，主要是厉行节约，规范管理，进一步压缩“三公”经费。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万元，拟召开......等会议，人数约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人次，主要包含传达......等内容；培训费预算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行政执法、行政处罚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20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行政执法、行政处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</w:rPr>
        <w:t>负责全县农村公路发展规划的制定及管理；为农村公路畅通提供养护与路政管理；负责公路、桥梁的测量、设计、预算、施工；公路行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</w:rPr>
        <w:t>业信息管理及服务；公路桥梁工程的技术服务和技术咨询。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auto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养护保质、按量、按时完成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桥梁工程按计划、合同保质、按量、按时完成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，安保工程按质、按量、按时完成。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D65A58E"/>
    <w:multiLevelType w:val="singleLevel"/>
    <w:tmpl w:val="4D65A58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WI0ZmUzZTE4NzEzN2VhODk2MjMyYmI1ZDQwNjQifQ=="/>
  </w:docVars>
  <w:rsids>
    <w:rsidRoot w:val="00000000"/>
    <w:rsid w:val="01B531D4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6505471"/>
    <w:rsid w:val="184423B4"/>
    <w:rsid w:val="1A4713E9"/>
    <w:rsid w:val="1C344D9D"/>
    <w:rsid w:val="1F122A8F"/>
    <w:rsid w:val="284A5A24"/>
    <w:rsid w:val="29310182"/>
    <w:rsid w:val="2A1C6CCC"/>
    <w:rsid w:val="300066DC"/>
    <w:rsid w:val="3FF272A6"/>
    <w:rsid w:val="41366754"/>
    <w:rsid w:val="4167540A"/>
    <w:rsid w:val="52326F0E"/>
    <w:rsid w:val="543D0DF6"/>
    <w:rsid w:val="55386724"/>
    <w:rsid w:val="578000E7"/>
    <w:rsid w:val="60DA7950"/>
    <w:rsid w:val="61545893"/>
    <w:rsid w:val="62FC10AF"/>
    <w:rsid w:val="647D0321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2771</Words>
  <Characters>3001</Characters>
  <Lines>0</Lines>
  <Paragraphs>0</Paragraphs>
  <TotalTime>0</TotalTime>
  <ScaleCrop>false</ScaleCrop>
  <LinksUpToDate>false</LinksUpToDate>
  <CharactersWithSpaces>3203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2023-09-22T06:19:02Z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346F2D9CC9224C879840170C4FD378FB</vt:lpwstr>
  </property>
</Properties>
</file>