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z w:val="44"/>
          <w:szCs w:val="44"/>
        </w:rPr>
      </w:pPr>
      <w:r>
        <w:rPr>
          <w:rFonts w:hint="eastAsia" w:ascii="黑体" w:hAnsi="宋体" w:eastAsia="黑体" w:cs="黑体"/>
          <w:b/>
          <w:color w:val="auto"/>
          <w:kern w:val="0"/>
          <w:sz w:val="44"/>
          <w:szCs w:val="44"/>
          <w:shd w:val="clear" w:color="auto" w:fill="F6F6F6"/>
          <w:lang w:val="en-US" w:eastAsia="zh-CN" w:bidi="ar"/>
        </w:rPr>
        <w:t>2022年新田县骥村中学单位部门预算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21.2022年部门整体支出绩效目标表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40" w:firstLineChars="200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（一）贯彻执行四项基本原则和党的教育方针，以及其他各项方针、政策。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（二）坚持以教学为中心，努力提高教学质量，不断研究和改进教学方法，不断提高教学水平。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（三）加强师资队伍建设，不断提高师资队伍素质。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（四）组织编制和实施学校的长期规划、年度计划和学期计划。组织领导招生、学生的入学和毕业鉴定工作。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（五）组织做好教职工的培养、考核、奖惩、工资福利职称评定，以及退休、离休等工作。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（六）组织领导做好行政后勤工作，坚持为教学服务，不断改善师生员工的工作、学习、生活条件，保证教学工作的顺利进行。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（七）贯彻执行勤俭办校的方针，建立健全各项规章制度，加强对学校的管理。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（八）完成上级领导机关布置的其他任务。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新田县骥村中学内设机构包括：教务处、总务处。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二、部门预算单位构成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新田县骥村中学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表均为空。收入包括经费拨款，也包括行政事业性收费收入和国有资源有偿使用收入；支出包括保障机关及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属事业单位基本运行的经费。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年本部门收入预算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575.21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万元，其中，一般公共预算拨款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500.21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万元，政府性基金预算拨款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万元，国有资本经营预算拨款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万元，纳入专户管理的非税收入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，上级财政补助收入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75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收入较去年增加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18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</w:rPr>
        <w:t>教师工资提高，本年有维修项目资金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pStyle w:val="6"/>
        <w:ind w:firstLine="643" w:firstLineChars="200"/>
        <w:rPr>
          <w:rFonts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年本部门支出预算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575.21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万元，其中，一般公共服务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万元，公共安全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万元，教育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448.01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万元，科学技术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，社会保障和就业支出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56.32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，卫生健康支出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29.79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，住房保障支出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41.09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元。</w:t>
      </w:r>
      <w:r>
        <w:rPr>
          <w:rFonts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支出较去年增加</w:t>
      </w: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18</w:t>
      </w:r>
      <w:r>
        <w:rPr>
          <w:rFonts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万元，主要是</w:t>
      </w:r>
      <w:r>
        <w:rPr>
          <w:rFonts w:hint="eastAsia"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教师工资提高，本年有维修项目资金</w:t>
      </w:r>
      <w:r>
        <w:rPr>
          <w:rFonts w:ascii="Times New Roman" w:hAnsi="Times New Roman" w:eastAsia="仿宋_GB2312" w:cs="Times New Roman"/>
          <w:b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575.21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一般公共预算补助75万元。</w:t>
      </w:r>
      <w:r>
        <w:rPr>
          <w:rFonts w:eastAsia="仿宋_GB2312"/>
          <w:color w:val="auto"/>
          <w:sz w:val="32"/>
          <w:szCs w:val="32"/>
        </w:rPr>
        <w:t>其中，</w:t>
      </w:r>
      <w:r>
        <w:rPr>
          <w:rFonts w:eastAsia="仿宋_GB2312"/>
          <w:sz w:val="32"/>
          <w:szCs w:val="32"/>
        </w:rPr>
        <w:t>一般公共服务支出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 xml:space="preserve"> %；公共安全支出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万元，占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%；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教育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448.01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77.89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科学技术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 0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/>
          <w:sz w:val="32"/>
          <w:szCs w:val="32"/>
          <w:u w:val="single"/>
        </w:rPr>
        <w:t xml:space="preserve"> 0 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社会保障和就业支出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56.32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9.79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卫生健康支出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29.79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5.18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%；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住房保障支出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 w:color="auto" w:fill="F6F6F6"/>
          <w:lang w:val="en-US" w:eastAsia="zh-CN" w:bidi="ar"/>
        </w:rPr>
        <w:t>41.09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元</w:t>
      </w:r>
      <w:r>
        <w:rPr>
          <w:rFonts w:eastAsia="仿宋_GB2312"/>
          <w:sz w:val="32"/>
          <w:szCs w:val="32"/>
        </w:rPr>
        <w:t>，占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7.14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（一）基本支出：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575.21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（二）项目支出：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项目支出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主要是部门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为完成特定行政工作任务或事业发展目标而发生的支出，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包括有关事业发展专项、专项业务费、基本建设支出等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eastAsia="仿宋_GB2312"/>
          <w:b/>
          <w:color w:val="auto"/>
          <w:sz w:val="32"/>
          <w:szCs w:val="32"/>
          <w:lang w:eastAsia="zh-CN"/>
        </w:rPr>
        <w:t>　</w:t>
      </w:r>
      <w:r>
        <w:rPr>
          <w:rFonts w:eastAsia="仿宋_GB2312"/>
          <w:b/>
          <w:color w:val="auto"/>
          <w:sz w:val="32"/>
          <w:szCs w:val="32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六、其他重要事项的情况说明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、机关运行经费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骥村中学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的机关运行经费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77.6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万元，比上年预算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增加3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上升3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%，主要是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人员经费支出增加，印刷办公用品有所增加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本部门机关本级1家行政事业单位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经费预算数为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万元，其中，公务接待费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万元，公务用车购置及运行费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万元（其中，公务用车购置费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万元，公务用车运行费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万元），因公出国（境）费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经费预算较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持平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年本部门会议费预算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3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万元，拟召开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教师代表、班主任、学生会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等会议，人数约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人次，主要包含传达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学校制度、学生安全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等内容；培训费预算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万元，拟开展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教师基本功、教学技能提升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等培训，人数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120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人次，主要内容为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教学比武、教师信息技术培训、对安全用电，防中毒、防溺水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进行专题培训；未计划举办节庆、晚会、论坛、赛事活动。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政府采购情况</w:t>
      </w:r>
    </w:p>
    <w:p>
      <w:pPr>
        <w:widowControl/>
        <w:spacing w:line="600" w:lineRule="exact"/>
        <w:ind w:firstLine="660"/>
        <w:rPr>
          <w:rFonts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政府采购预算总额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77.6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77.6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numPr>
          <w:ilvl w:val="0"/>
          <w:numId w:val="0"/>
        </w:numPr>
        <w:spacing w:line="600" w:lineRule="exact"/>
        <w:ind w:left="660" w:leftChars="0"/>
        <w:jc w:val="left"/>
        <w:rPr>
          <w:rFonts w:eastAsia="楷体_GB2312"/>
          <w:b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2022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 575.21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575.21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万元，项目支出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 xml:space="preserve">0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万元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483A4101"/>
    <w:multiLevelType w:val="singleLevel"/>
    <w:tmpl w:val="483A410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Y2Q3OGE0NTFkNDRhNDVlYTAzMWZlZDZlMDZjZWQifQ=="/>
  </w:docVars>
  <w:rsids>
    <w:rsidRoot w:val="00000000"/>
    <w:rsid w:val="026B348A"/>
    <w:rsid w:val="075313C3"/>
    <w:rsid w:val="0A564AAB"/>
    <w:rsid w:val="0AEC3CD0"/>
    <w:rsid w:val="0B3202FF"/>
    <w:rsid w:val="0C5F4155"/>
    <w:rsid w:val="0C8D4A58"/>
    <w:rsid w:val="0D122A8A"/>
    <w:rsid w:val="0E5A2261"/>
    <w:rsid w:val="0EFE2AC3"/>
    <w:rsid w:val="101D5507"/>
    <w:rsid w:val="12F87997"/>
    <w:rsid w:val="184423B4"/>
    <w:rsid w:val="1A4713E9"/>
    <w:rsid w:val="1BE11932"/>
    <w:rsid w:val="1F122A8F"/>
    <w:rsid w:val="216B1C81"/>
    <w:rsid w:val="284A5A24"/>
    <w:rsid w:val="29310182"/>
    <w:rsid w:val="2A1C6CCC"/>
    <w:rsid w:val="33380434"/>
    <w:rsid w:val="34E67A74"/>
    <w:rsid w:val="3AEE3FF9"/>
    <w:rsid w:val="40D95004"/>
    <w:rsid w:val="41076D91"/>
    <w:rsid w:val="41366754"/>
    <w:rsid w:val="4167540A"/>
    <w:rsid w:val="4B862416"/>
    <w:rsid w:val="4E2609E0"/>
    <w:rsid w:val="52326F0E"/>
    <w:rsid w:val="543D0DF6"/>
    <w:rsid w:val="55386724"/>
    <w:rsid w:val="60DA7950"/>
    <w:rsid w:val="647D0321"/>
    <w:rsid w:val="66C51A03"/>
    <w:rsid w:val="703C4095"/>
    <w:rsid w:val="740A2B3A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2971</Words>
  <Characters>3194</Characters>
  <Lines>0</Lines>
  <Paragraphs>0</Paragraphs>
  <TotalTime>0</TotalTime>
  <ScaleCrop>false</ScaleCrop>
  <LinksUpToDate>false</LinksUpToDate>
  <CharactersWithSpaces>3264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518D5839A0EF4CB89B18C67FDD5286E9</vt:lpwstr>
  </property>
</Properties>
</file>