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  <w:lang w:eastAsia="zh-CN"/>
        </w:rPr>
      </w:pP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2022年</w:t>
      </w: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  <w:lang w:eastAsia="zh-CN"/>
        </w:rPr>
        <w:t>城区渣土管理站</w:t>
      </w:r>
    </w:p>
    <w:p>
      <w:pPr>
        <w:widowControl/>
        <w:spacing w:line="600" w:lineRule="exact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第一部分2022年部门预算说明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sz w:val="32"/>
          <w:szCs w:val="32"/>
        </w:rPr>
        <w:t>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2022年部门预算公开表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收支总表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2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收入总表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3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4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支出预算分类汇总表（按政府预算经济分类）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5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支出预算分类汇总表（按部门预算经济分类）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6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财政拨款收支总表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7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8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一般公共预算基本支出表--人员经费(工资福利支出)(按政府预算经济分类)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9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一般公共预算基本支出表--人员经费(工资福利支出)(按部门预算经济分类)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10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一般公共预算基本支出表--人员经费(对个人和家庭的补助)(按政府预算经济分类)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11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一般公共预算基本支出表--人员经费(对个人和家庭的补助)（按部门预算经济分类）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12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一般公共预算基本支出表--公用经费(商品和服务支出)（按政府预算经济分类）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13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一般公共预算基本支出表--公用经费(商品和服务支出)(按部门预算经济分类)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14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一般公共预算“三公”经费支出表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15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16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政府性基金预算支出分类汇总表（按政府预算经济分类）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17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政府性基金预算支出分类汇总表（按部门预算经济分类）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18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国有资本经营预算表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19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财政专户管理资金预算支出表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20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 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 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 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第一部分 2022年部门预算说明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一、部门基本概况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、职能职责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pStyle w:val="10"/>
        <w:widowControl/>
        <w:ind w:left="1146" w:firstLine="0" w:firstLineChars="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为城区渣土运输管理提供服务，负责城区建筑渣土、砂石收集、消纳、处理的统一规范；对县内各类施工场所的施工车辆划定行驶路线、行驶时间；负责城区建筑渣土、砂石处置文件核发的事务性工作。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0"/>
          <w:szCs w:val="30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exact"/>
        <w:ind w:firstLine="560" w:firstLineChars="200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</w:rPr>
        <w:t>（一）内设机构设置。新田县城区渣土运输管理站的内设机构包括：办公室、执法小组。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二、部门预算单位构成</w:t>
      </w:r>
    </w:p>
    <w:p>
      <w:pPr>
        <w:widowControl/>
        <w:spacing w:line="600" w:lineRule="exact"/>
        <w:ind w:firstLine="560" w:firstLineChars="200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</w:rPr>
        <w:t>新田县城区渣土运输管理站2022年部门预算单位构成只有新田县城区渣土运输管理站本级。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年部门预算即我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本级预算。我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15、16、17、18、19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所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属事业单位基本运行的经费，也包括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人员经费、专项经费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eastAsia="仿宋_GB2312"/>
          <w:sz w:val="32"/>
          <w:szCs w:val="32"/>
        </w:rPr>
        <w:t>166.87万元，其中一般公共预算拨款166.87万元，政府性基金预算拨款0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收入较去年增加</w:t>
      </w:r>
      <w:r>
        <w:rPr>
          <w:rFonts w:hint="eastAsia" w:eastAsia="仿宋_GB2312"/>
          <w:b/>
          <w:sz w:val="32"/>
          <w:szCs w:val="32"/>
        </w:rPr>
        <w:t>35.56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人员经费拨款增加以及人员支出增加。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</w:rPr>
        <w:t>166.8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万元，公共安全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万元，科学技术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hint="eastAsia" w:eastAsia="仿宋_GB2312"/>
          <w:b/>
          <w:sz w:val="32"/>
          <w:szCs w:val="32"/>
        </w:rPr>
        <w:t>35.56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人员经费拨款增加以及人员支出增加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atLeas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hint="eastAsia" w:eastAsia="仿宋_GB2312"/>
          <w:sz w:val="32"/>
          <w:szCs w:val="32"/>
        </w:rPr>
        <w:t>166.87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 xml:space="preserve">万元，占 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%；公共安全支出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 xml:space="preserve">万元，占 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%；……。具体安排情况如下：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（一）基本支出：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基本支出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预算数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158.87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（二）项目支出：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项目支出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8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主要是部门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为完成特定行政工作任务或事业发展目标而发生的支出，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。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其中：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按项目管理的工资福利支出2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按项目管理的商品和服务支出6万元。</w:t>
      </w:r>
    </w:p>
    <w:p>
      <w:pPr>
        <w:widowControl/>
        <w:spacing w:line="600" w:lineRule="atLeast"/>
        <w:ind w:firstLine="660"/>
        <w:jc w:val="left"/>
        <w:rPr>
          <w:rFonts w:ascii="黑体" w:hAnsi="宋体" w:eastAsia="黑体" w:cs="黑体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2022年本部门无政府性基金支出。，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（注：如无政府性基金预算安排的支出，应反映“本部门无政府性基金安排的支出”）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六、其他重要事项的情况说明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、机关运行经费</w:t>
      </w:r>
    </w:p>
    <w:p>
      <w:pPr>
        <w:widowControl/>
        <w:spacing w:line="600" w:lineRule="exact"/>
        <w:ind w:firstLine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年本部门机关本级、行政事业单位的机关运行经费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27.25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万元，比上年预算减少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22.05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万元，下降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45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%，主要是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厉行节约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exac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本部门机关本级、行政事业单位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6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万元，其中，公务接待费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0.5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5.5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5.5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万元），因公出国（境）费万元。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经费预算较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年减少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0.1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万元，主要是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厉行节约，规范管理，进一步压缩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“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”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经费。</w:t>
      </w:r>
    </w:p>
    <w:p>
      <w:pPr>
        <w:widowControl/>
        <w:numPr>
          <w:ilvl w:val="0"/>
          <w:numId w:val="1"/>
        </w:numPr>
        <w:snapToGrid w:val="0"/>
        <w:spacing w:line="600" w:lineRule="exact"/>
        <w:ind w:left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一般性支出情况：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2022年本部门会议费预算0万元，拟召开......等会议，人数约人次，主要包含传达......等内容；培训费预算万元，拟开展......等培训，人数 人次，主要内容为对......进行专题培训；未计划举办节庆、晚会、论坛、赛事活动。</w:t>
      </w:r>
    </w:p>
    <w:p>
      <w:pPr>
        <w:widowControl/>
        <w:snapToGrid w:val="0"/>
        <w:spacing w:line="600" w:lineRule="exact"/>
        <w:ind w:left="66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4、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政府采购预算总额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1.89万元.采购预算1.89万元，工程类采购0万元，服务类采购0万元。</w:t>
      </w:r>
    </w:p>
    <w:p>
      <w:pPr>
        <w:widowControl/>
        <w:spacing w:line="600" w:lineRule="exact"/>
        <w:ind w:left="660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</w:rPr>
        <w:t>3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2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</w:rPr>
        <w:t>1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2022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辆；新增配备单位价值50万元以上通用设备台</w:t>
      </w:r>
      <w:r>
        <w:rPr>
          <w:rFonts w:hint="eastAsia" w:eastAsia="仿宋_GB2312"/>
          <w:bCs/>
          <w:kern w:val="0"/>
          <w:sz w:val="32"/>
          <w:szCs w:val="32"/>
        </w:rPr>
        <w:t>0台，</w:t>
      </w:r>
      <w:r>
        <w:rPr>
          <w:rFonts w:eastAsia="仿宋_GB2312"/>
          <w:bCs/>
          <w:kern w:val="0"/>
          <w:sz w:val="32"/>
          <w:szCs w:val="32"/>
        </w:rPr>
        <w:t>价值100万元以上专用设备</w:t>
      </w:r>
      <w:r>
        <w:rPr>
          <w:rFonts w:hint="eastAsia" w:eastAsia="仿宋_GB2312"/>
          <w:bCs/>
          <w:kern w:val="0"/>
          <w:sz w:val="32"/>
          <w:szCs w:val="32"/>
        </w:rPr>
        <w:t>0台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6、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所有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支出实行绩效目标管理，纳入20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年部门整体支出绩效目标的金额为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166. 87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万元，其中，基本支出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158.87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万元，项目支出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8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，具体绩效目标详见报表。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7、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年度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部门预算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经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新田县第十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八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届人民代表大会第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一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次会议批复时间为20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10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日，财政部门批复时间为20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08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2、“三公”经费：纳入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省（市/县）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第二部分 2022年部门预算公开表</w:t>
      </w: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U4YWI0ZmUzZTE4NzEzN2VhODk2MjMyYmI1ZDQwNjQifQ=="/>
  </w:docVars>
  <w:rsids>
    <w:rsidRoot w:val="003A1EDF"/>
    <w:rsid w:val="00021F22"/>
    <w:rsid w:val="000A70F3"/>
    <w:rsid w:val="001056D9"/>
    <w:rsid w:val="00115EEA"/>
    <w:rsid w:val="00117377"/>
    <w:rsid w:val="0024610A"/>
    <w:rsid w:val="00252A69"/>
    <w:rsid w:val="002657B2"/>
    <w:rsid w:val="00296C92"/>
    <w:rsid w:val="00300B57"/>
    <w:rsid w:val="0035261D"/>
    <w:rsid w:val="0037366B"/>
    <w:rsid w:val="003A1EDF"/>
    <w:rsid w:val="003E2EBD"/>
    <w:rsid w:val="004068DA"/>
    <w:rsid w:val="00451B7D"/>
    <w:rsid w:val="004C4460"/>
    <w:rsid w:val="004D6AE3"/>
    <w:rsid w:val="00504DC9"/>
    <w:rsid w:val="00506C12"/>
    <w:rsid w:val="0052748A"/>
    <w:rsid w:val="0053009C"/>
    <w:rsid w:val="005632B8"/>
    <w:rsid w:val="005C227F"/>
    <w:rsid w:val="0063743A"/>
    <w:rsid w:val="006A0640"/>
    <w:rsid w:val="006B6086"/>
    <w:rsid w:val="006C65BD"/>
    <w:rsid w:val="007421D5"/>
    <w:rsid w:val="0074799C"/>
    <w:rsid w:val="00876A86"/>
    <w:rsid w:val="008827E1"/>
    <w:rsid w:val="009100B3"/>
    <w:rsid w:val="009614CA"/>
    <w:rsid w:val="00964CAC"/>
    <w:rsid w:val="009B187C"/>
    <w:rsid w:val="009C582D"/>
    <w:rsid w:val="009E2064"/>
    <w:rsid w:val="00A710E3"/>
    <w:rsid w:val="00AA1A0C"/>
    <w:rsid w:val="00AA3472"/>
    <w:rsid w:val="00AF0737"/>
    <w:rsid w:val="00B41A58"/>
    <w:rsid w:val="00B922CD"/>
    <w:rsid w:val="00B9305D"/>
    <w:rsid w:val="00BB391D"/>
    <w:rsid w:val="00C0428A"/>
    <w:rsid w:val="00C154FC"/>
    <w:rsid w:val="00C839D6"/>
    <w:rsid w:val="00CC009E"/>
    <w:rsid w:val="00CC6AFF"/>
    <w:rsid w:val="00D30996"/>
    <w:rsid w:val="00D43FFE"/>
    <w:rsid w:val="00D47B16"/>
    <w:rsid w:val="00D7124E"/>
    <w:rsid w:val="00D81965"/>
    <w:rsid w:val="00D91DE9"/>
    <w:rsid w:val="00DB037E"/>
    <w:rsid w:val="00DC1BF6"/>
    <w:rsid w:val="00DD226D"/>
    <w:rsid w:val="00E45976"/>
    <w:rsid w:val="00E97671"/>
    <w:rsid w:val="00F16785"/>
    <w:rsid w:val="00F3793B"/>
    <w:rsid w:val="00F750E8"/>
    <w:rsid w:val="00FB1C3C"/>
    <w:rsid w:val="00FB5751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84A5A24"/>
    <w:rsid w:val="29310182"/>
    <w:rsid w:val="2A1C6CCC"/>
    <w:rsid w:val="41366754"/>
    <w:rsid w:val="4167540A"/>
    <w:rsid w:val="52326F0E"/>
    <w:rsid w:val="52B85C8D"/>
    <w:rsid w:val="543D0DF6"/>
    <w:rsid w:val="55386724"/>
    <w:rsid w:val="60DA7950"/>
    <w:rsid w:val="647D0321"/>
    <w:rsid w:val="68876E24"/>
    <w:rsid w:val="703C4095"/>
    <w:rsid w:val="79183053"/>
    <w:rsid w:val="7BBA645B"/>
    <w:rsid w:val="7F6D1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2628</Words>
  <Characters>2831</Characters>
  <Lines>20</Lines>
  <Paragraphs>5</Paragraphs>
  <TotalTime>0</TotalTime>
  <ScaleCrop>false</ScaleCrop>
  <LinksUpToDate>false</LinksUpToDate>
  <CharactersWithSpaces>2864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2022-07-26T09:28:00Z</dcterms:created>
  <dc:creator>Administrator</dc:creator>
  <cp:lastModifiedBy>香香公主</cp:lastModifiedBy>
  <cp:lastPrinted>2019-09-03T01:21:00Z</cp:lastPrinted>
  <dcterms:modified xsi:type="dcterms:W3CDTF">2023-09-22T05:44:00Z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B47E7A75756E4F95900213F2029DF884</vt:lpwstr>
  </property>
</Properties>
</file>