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sz w:val="44"/>
          <w:szCs w:val="44"/>
        </w:rPr>
      </w:pPr>
      <w:r>
        <w:rPr>
          <w:rFonts w:hint="eastAsia" w:ascii="黑体" w:hAnsi="宋体" w:eastAsia="黑体" w:cs="黑体"/>
          <w:b/>
          <w:kern w:val="0"/>
          <w:sz w:val="44"/>
          <w:szCs w:val="44"/>
          <w:shd w:val="clear" w:color="auto" w:fill="F6F6F6"/>
        </w:rPr>
        <w:t>2022年</w:t>
      </w:r>
      <w:r>
        <w:rPr>
          <w:rFonts w:hint="eastAsia" w:ascii="黑体" w:hAnsi="宋体" w:eastAsia="黑体" w:cs="黑体"/>
          <w:b/>
          <w:kern w:val="0"/>
          <w:sz w:val="44"/>
          <w:szCs w:val="44"/>
          <w:shd w:val="clear" w:color="auto" w:fill="F6F6F6"/>
          <w:lang w:val="en-US" w:eastAsia="zh-CN"/>
        </w:rPr>
        <w:t>新田县高山中心小学</w:t>
      </w:r>
      <w:r>
        <w:rPr>
          <w:rFonts w:hint="eastAsia" w:ascii="黑体" w:hAnsi="宋体" w:eastAsia="黑体" w:cs="黑体"/>
          <w:b/>
          <w:kern w:val="0"/>
          <w:sz w:val="44"/>
          <w:szCs w:val="44"/>
          <w:shd w:val="clear" w:color="auto" w:fill="F6F6F6"/>
        </w:rPr>
        <w:t>单位部门预算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录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第一部分2022年部门预算说明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一、部门基本概况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二、部门预算单位构成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三、部门收支总体情况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四、一般公共预算拨款支出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五、政府性基金预算支出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21.2022年部门整体支出绩效目标表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ascii="黑体" w:hAnsi="宋体" w:eastAsia="黑体" w:cs="黑体"/>
          <w:color w:val="auto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  <w:rPr>
          <w:rFonts w:ascii="黑体" w:hAnsi="宋体" w:eastAsia="黑体" w:cs="黑体"/>
          <w:b/>
          <w:kern w:val="0"/>
          <w:sz w:val="36"/>
          <w:szCs w:val="36"/>
          <w:shd w:val="clear" w:color="auto" w:fill="F6F6F6"/>
        </w:rPr>
      </w:pPr>
    </w:p>
    <w:p>
      <w:pPr>
        <w:widowControl/>
        <w:spacing w:line="600" w:lineRule="exact"/>
        <w:jc w:val="center"/>
      </w:pPr>
      <w:r>
        <w:rPr>
          <w:rFonts w:hint="eastAsia" w:ascii="黑体" w:hAnsi="宋体" w:eastAsia="黑体" w:cs="黑体"/>
          <w:b/>
          <w:kern w:val="0"/>
          <w:sz w:val="36"/>
          <w:szCs w:val="36"/>
          <w:shd w:val="clear" w:color="auto" w:fill="F6F6F6"/>
        </w:rPr>
        <w:t>第一部分 2022年部门预算说明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一、部门基本概况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、职能职责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实施小学阶段义务教育，促进基础教育发展，开展小学学历教育。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、机构设置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：本单位事业机构一个。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高山中心小学只有本级，没有其他预算单位，因此本部门预算仅含本级预算。</w:t>
      </w: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三、部门收支总体情况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年部门预算即我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本级预算。我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16、17、18、19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val="en-US" w:eastAsia="zh-CN"/>
        </w:rPr>
        <w:t>20</w:t>
      </w:r>
      <w:bookmarkStart w:id="0" w:name="_GoBack"/>
      <w:bookmarkEnd w:id="0"/>
      <w:r>
        <w:rPr>
          <w:rFonts w:ascii="仿宋_GB2312" w:eastAsia="仿宋_GB2312" w:cs="仿宋_GB2312"/>
          <w:sz w:val="32"/>
          <w:szCs w:val="32"/>
          <w:shd w:val="clear" w:color="auto" w:fill="F6F6F6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所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属事业单位基本运行的经费等项目经费。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hint="eastAsia" w:eastAsia="仿宋_GB2312"/>
          <w:sz w:val="32"/>
          <w:szCs w:val="32"/>
          <w:u w:val="single"/>
        </w:rPr>
        <w:t>340.88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281</w:t>
      </w:r>
      <w:r>
        <w:rPr>
          <w:rFonts w:hint="eastAsia" w:eastAsia="仿宋_GB2312"/>
          <w:sz w:val="32"/>
          <w:szCs w:val="32"/>
          <w:u w:val="single"/>
        </w:rPr>
        <w:t>.88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，上级财政补助收入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47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收入较去年减少</w:t>
      </w:r>
      <w:r>
        <w:rPr>
          <w:rFonts w:hint="eastAsia" w:eastAsia="仿宋_GB2312"/>
          <w:b/>
          <w:sz w:val="32"/>
          <w:szCs w:val="32"/>
          <w:u w:val="single"/>
        </w:rPr>
        <w:t>278.12</w:t>
      </w:r>
      <w:r>
        <w:rPr>
          <w:rFonts w:eastAsia="仿宋_GB2312"/>
          <w:b/>
          <w:sz w:val="32"/>
          <w:szCs w:val="32"/>
        </w:rPr>
        <w:t>万元，主要是生源减少、经费减少。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hint="eastAsia" w:eastAsia="仿宋_GB2312"/>
          <w:sz w:val="32"/>
          <w:szCs w:val="32"/>
          <w:u w:val="single"/>
        </w:rPr>
        <w:t>340.88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万元，公共安全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万元，教育</w:t>
      </w:r>
      <w:r>
        <w:rPr>
          <w:rFonts w:hint="eastAsia" w:eastAsia="仿宋_GB2312"/>
          <w:sz w:val="32"/>
          <w:szCs w:val="32"/>
          <w:u w:val="single"/>
        </w:rPr>
        <w:t>268.92</w:t>
      </w:r>
      <w:r>
        <w:rPr>
          <w:rFonts w:eastAsia="仿宋_GB2312"/>
          <w:sz w:val="32"/>
          <w:szCs w:val="32"/>
        </w:rPr>
        <w:t>万元，科学技术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万元，社会保障和就业支出</w:t>
      </w:r>
      <w:r>
        <w:rPr>
          <w:rFonts w:hint="eastAsia" w:eastAsia="仿宋_GB2312"/>
          <w:sz w:val="32"/>
          <w:szCs w:val="32"/>
          <w:u w:val="single"/>
        </w:rPr>
        <w:t>31.82</w:t>
      </w:r>
      <w:r>
        <w:rPr>
          <w:rFonts w:hint="eastAsia" w:eastAsia="仿宋_GB2312"/>
          <w:sz w:val="32"/>
          <w:szCs w:val="32"/>
        </w:rPr>
        <w:t>万元，卫生健康支出</w:t>
      </w:r>
      <w:r>
        <w:rPr>
          <w:rFonts w:hint="eastAsia" w:eastAsia="仿宋_GB2312"/>
          <w:sz w:val="32"/>
          <w:szCs w:val="32"/>
          <w:u w:val="single"/>
        </w:rPr>
        <w:t>16.87</w:t>
      </w:r>
      <w:r>
        <w:rPr>
          <w:rFonts w:hint="eastAsia" w:eastAsia="仿宋_GB2312"/>
          <w:sz w:val="32"/>
          <w:szCs w:val="32"/>
        </w:rPr>
        <w:t>万元，住房保险支出</w:t>
      </w:r>
      <w:r>
        <w:rPr>
          <w:rFonts w:hint="eastAsia" w:ascii="宋体" w:hAnsi="宋体" w:cs="宋体"/>
          <w:sz w:val="32"/>
          <w:szCs w:val="32"/>
          <w:u w:val="single"/>
        </w:rPr>
        <w:t>23.27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支出较去年减少</w:t>
      </w:r>
      <w:r>
        <w:rPr>
          <w:rFonts w:hint="eastAsia" w:eastAsia="仿宋_GB2312"/>
          <w:b/>
          <w:sz w:val="32"/>
          <w:szCs w:val="32"/>
          <w:u w:val="single"/>
        </w:rPr>
        <w:t>278.12</w:t>
      </w:r>
      <w:r>
        <w:rPr>
          <w:rFonts w:eastAsia="仿宋_GB2312"/>
          <w:b/>
          <w:sz w:val="32"/>
          <w:szCs w:val="32"/>
        </w:rPr>
        <w:t>万元，主要是生源减少、经费减少。</w:t>
      </w:r>
    </w:p>
    <w:p>
      <w:pPr>
        <w:widowControl/>
        <w:spacing w:line="600" w:lineRule="atLeast"/>
        <w:ind w:firstLine="66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年本部门一般公共预算拨款支出预算万</w:t>
      </w:r>
      <w:r>
        <w:rPr>
          <w:rFonts w:hint="eastAsia" w:eastAsia="仿宋_GB2312"/>
          <w:sz w:val="32"/>
          <w:szCs w:val="32"/>
          <w:u w:val="single"/>
        </w:rPr>
        <w:t>340.88</w:t>
      </w:r>
      <w:r>
        <w:rPr>
          <w:rFonts w:eastAsia="仿宋_GB2312"/>
          <w:sz w:val="32"/>
          <w:szCs w:val="32"/>
        </w:rPr>
        <w:t>元，其中，一般公共服务支出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 xml:space="preserve">万元，占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%；公共安全支出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 xml:space="preserve">万元，占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教育</w:t>
      </w:r>
      <w:r>
        <w:rPr>
          <w:rFonts w:hint="eastAsia" w:eastAsia="仿宋_GB2312"/>
          <w:sz w:val="32"/>
          <w:szCs w:val="32"/>
          <w:u w:val="single"/>
        </w:rPr>
        <w:t>268.92</w:t>
      </w:r>
      <w:r>
        <w:rPr>
          <w:rFonts w:eastAsia="仿宋_GB2312"/>
          <w:sz w:val="32"/>
          <w:szCs w:val="32"/>
        </w:rPr>
        <w:t xml:space="preserve">万元，占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78.89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科学技术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</w:rPr>
        <w:t xml:space="preserve">万元，占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u w:val="single"/>
        </w:rPr>
        <w:t>31.82</w:t>
      </w:r>
      <w:r>
        <w:rPr>
          <w:rFonts w:hint="eastAsia"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9.33</w:t>
      </w:r>
      <w:r>
        <w:rPr>
          <w:rFonts w:hint="eastAsia"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u w:val="single"/>
        </w:rPr>
        <w:t>16.87</w:t>
      </w:r>
      <w:r>
        <w:rPr>
          <w:rFonts w:hint="eastAsia"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4.95</w:t>
      </w:r>
      <w:r>
        <w:rPr>
          <w:rFonts w:hint="eastAsia"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住房保险支出</w:t>
      </w:r>
      <w:r>
        <w:rPr>
          <w:rFonts w:hint="eastAsia" w:eastAsia="仿宋_GB2312"/>
          <w:sz w:val="32"/>
          <w:szCs w:val="32"/>
          <w:u w:val="single"/>
        </w:rPr>
        <w:t>23.27</w:t>
      </w:r>
      <w:r>
        <w:rPr>
          <w:rFonts w:hint="eastAsia"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6.83</w:t>
      </w:r>
      <w:r>
        <w:rPr>
          <w:rFonts w:hint="eastAsia" w:eastAsia="仿宋_GB2312"/>
          <w:sz w:val="32"/>
          <w:szCs w:val="32"/>
        </w:rPr>
        <w:t>%。</w:t>
      </w:r>
      <w:r>
        <w:rPr>
          <w:rFonts w:eastAsia="仿宋_GB2312"/>
          <w:sz w:val="32"/>
          <w:szCs w:val="32"/>
        </w:rPr>
        <w:t>具体安排情况如下：</w:t>
      </w:r>
    </w:p>
    <w:p>
      <w:pPr>
        <w:widowControl/>
        <w:spacing w:line="600" w:lineRule="atLeast"/>
        <w:ind w:firstLine="660"/>
        <w:jc w:val="left"/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（一）基本支出：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基本支出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预算数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340.88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atLeast"/>
        <w:ind w:firstLine="660"/>
        <w:jc w:val="left"/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（二）项目支出：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项目支出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主要是部门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为完成特定行政工作任务或事业发展目标而发生的支出，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。</w:t>
      </w:r>
    </w:p>
    <w:p>
      <w:pPr>
        <w:widowControl/>
        <w:spacing w:line="600" w:lineRule="atLeast"/>
        <w:ind w:firstLine="660"/>
        <w:jc w:val="left"/>
        <w:rPr>
          <w:rFonts w:ascii="黑体" w:hAnsi="宋体" w:eastAsia="黑体" w:cs="黑体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2022</w:t>
      </w:r>
      <w:r>
        <w:rPr>
          <w:rFonts w:eastAsia="仿宋_GB2312"/>
          <w:b/>
          <w:sz w:val="32"/>
          <w:szCs w:val="32"/>
        </w:rPr>
        <w:t>年本单位无政府性基金安排的支出。</w:t>
      </w:r>
    </w:p>
    <w:p>
      <w:pPr>
        <w:widowControl/>
        <w:spacing w:line="600" w:lineRule="atLeast"/>
        <w:ind w:firstLine="640" w:firstLineChars="20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六、其他重要事项的情况说明</w:t>
      </w:r>
    </w:p>
    <w:p>
      <w:pPr>
        <w:widowControl/>
        <w:spacing w:line="600" w:lineRule="atLeas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、机关运行经费</w:t>
      </w:r>
    </w:p>
    <w:p>
      <w:pPr>
        <w:widowControl/>
        <w:spacing w:line="600" w:lineRule="exact"/>
        <w:ind w:firstLine="66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年本部门机关本级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家行政事业单位的机关运行经费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340.88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万元，比上年预算减少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278.12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万元，下降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44.93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%，主要是生源减少、经费减少</w:t>
      </w:r>
    </w:p>
    <w:p>
      <w:pPr>
        <w:widowControl/>
        <w:spacing w:line="600" w:lineRule="exac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</w:t>
      </w:r>
    </w:p>
    <w:p>
      <w:pPr>
        <w:widowControl/>
        <w:spacing w:line="600" w:lineRule="atLeas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本部门机关本级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1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家行政事业单位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经费预算数为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万元，其中，公务接待费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万元，公务用车购置及运行费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万元（其中，公务用车购置费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万元，公务用车运行费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万元），因公出国（境）费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万元。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经费预算较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持平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。</w:t>
      </w:r>
    </w:p>
    <w:p>
      <w:pPr>
        <w:widowControl/>
        <w:numPr>
          <w:ilvl w:val="0"/>
          <w:numId w:val="1"/>
        </w:numPr>
        <w:snapToGrid w:val="0"/>
        <w:spacing w:line="600" w:lineRule="exact"/>
        <w:ind w:left="66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一般性支出情况：</w:t>
      </w:r>
    </w:p>
    <w:p>
      <w:pPr>
        <w:widowControl/>
        <w:snapToGrid w:val="0"/>
        <w:spacing w:line="600" w:lineRule="exact"/>
        <w:ind w:firstLine="640" w:firstLineChars="20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万元，人数约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人次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；培训费预算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5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万元，拟开展寒暑假培训、国培等培训，人数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60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人次，主要内容为对教师进行进行专题培训；未计划举办节庆、晚会、论坛、赛事活动。</w:t>
      </w:r>
    </w:p>
    <w:p>
      <w:pPr>
        <w:widowControl/>
        <w:snapToGrid w:val="0"/>
        <w:spacing w:line="600" w:lineRule="exact"/>
        <w:ind w:left="660"/>
        <w:jc w:val="left"/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4、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政府采购预算总额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59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万元，其中，办公设备维修和保养服务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59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万元；</w:t>
      </w:r>
      <w:r>
        <w:rPr>
          <w:rFonts w:eastAsia="仿宋_GB2312"/>
          <w:sz w:val="32"/>
          <w:szCs w:val="32"/>
        </w:rPr>
        <w:t>货物类采购预算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left="660"/>
        <w:jc w:val="left"/>
        <w:rPr>
          <w:rFonts w:eastAsia="楷体_GB2312"/>
          <w:b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5、国有资产占用使用及新增资产配置情况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2022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atLeast"/>
        <w:ind w:left="66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6、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预算绩效目标说明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所有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支出实行绩效目标管理，纳入20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年部门整体支出绩效目标的金额为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>340.88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万元，其中，基本支出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>340.88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万元，项目支出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>0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，具体绩效目标详见报表。</w:t>
      </w:r>
    </w:p>
    <w:p>
      <w:pPr>
        <w:widowControl/>
        <w:spacing w:line="600" w:lineRule="atLeast"/>
        <w:ind w:left="66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7、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批复时间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年度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本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部门预算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经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新田县第十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八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届人民代表大会第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一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次会议批复时间为20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10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月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日，财政部门批复时间为20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11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月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08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日。</w:t>
      </w:r>
    </w:p>
    <w:p>
      <w:pPr>
        <w:widowControl/>
        <w:spacing w:line="600" w:lineRule="exact"/>
        <w:ind w:firstLine="66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七、名词解释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2、“三公”经费：纳入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省（市/县）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jc w:val="center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b/>
          <w:kern w:val="0"/>
          <w:sz w:val="36"/>
          <w:szCs w:val="36"/>
          <w:shd w:val="clear" w:color="auto" w:fill="F6F6F6"/>
        </w:rPr>
        <w:t>第二部分 2022年部门预算公开表</w:t>
      </w:r>
    </w:p>
    <w:p>
      <w:pPr>
        <w:widowControl/>
        <w:spacing w:line="600" w:lineRule="atLeast"/>
        <w:jc w:val="center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kyY2Q3OGE0NTFkNDRhNDVlYTAzMWZlZDZlMDZjZWQifQ=="/>
  </w:docVars>
  <w:rsids>
    <w:rsidRoot w:val="007A58EF"/>
    <w:rsid w:val="00040C07"/>
    <w:rsid w:val="00207C62"/>
    <w:rsid w:val="003226AB"/>
    <w:rsid w:val="004E2E31"/>
    <w:rsid w:val="00571A02"/>
    <w:rsid w:val="00617199"/>
    <w:rsid w:val="00624511"/>
    <w:rsid w:val="0069499D"/>
    <w:rsid w:val="00755C68"/>
    <w:rsid w:val="007A58EF"/>
    <w:rsid w:val="00AE7835"/>
    <w:rsid w:val="00B65298"/>
    <w:rsid w:val="00BA4711"/>
    <w:rsid w:val="00D279A5"/>
    <w:rsid w:val="00FA0672"/>
    <w:rsid w:val="026B348A"/>
    <w:rsid w:val="03C479F4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4E4771C"/>
    <w:rsid w:val="184423B4"/>
    <w:rsid w:val="1A4713E9"/>
    <w:rsid w:val="1F122A8F"/>
    <w:rsid w:val="284A5A24"/>
    <w:rsid w:val="29310182"/>
    <w:rsid w:val="2A1C6CCC"/>
    <w:rsid w:val="41366754"/>
    <w:rsid w:val="4167540A"/>
    <w:rsid w:val="45623FA6"/>
    <w:rsid w:val="52326F0E"/>
    <w:rsid w:val="543D0DF6"/>
    <w:rsid w:val="55386724"/>
    <w:rsid w:val="60DA7950"/>
    <w:rsid w:val="61D962BD"/>
    <w:rsid w:val="647D0321"/>
    <w:rsid w:val="703C4095"/>
    <w:rsid w:val="79183053"/>
    <w:rsid w:val="7BBA645B"/>
    <w:rsid w:val="7F6D11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2513</Words>
  <Characters>2716</Characters>
  <Lines>20</Lines>
  <Paragraphs>5</Paragraphs>
  <TotalTime>0</TotalTime>
  <ScaleCrop>false</ScaleCrop>
  <LinksUpToDate>false</LinksUpToDate>
  <CharactersWithSpaces>2747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2023-08-07T09:17:41Z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6F281D2642F34964B75C2AD34D0A93F1_12</vt:lpwstr>
  </property>
</Properties>
</file>