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中山街道办事处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 w:firstLine="640" w:firstLineChars="20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、贯彻执行党和国家的路线、方针、政策和上级人民政府关于街道工作方面的决定，制定具体的管理办法并组织实施；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、负责辖区内市容市貌和环境卫生的日常管理工作，发动辖区单位和群众保护环境，开展爱国卫生运动；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、动员和领导居民及各单位、各部门开展社区建设工作；制定并实施社区建设规划和年度计划；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 xml:space="preserve">  4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、指导社区居民委员会的工作；协调解决行政事务、社会管理和公共服务方面的问题；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、负责社区集体经济组织（由原农村集体经济改制的股份合作公司）的监督管理工作；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、负责辖区内普法教育工作，维护老人、妇女儿童的合法权益；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 xml:space="preserve"> 7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、负责辖区内安全生产和消防工作的指导、监督；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、会同有关部门做好本辖区综治、信访、维稳等工作；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444444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　</w:t>
      </w:r>
      <w:r>
        <w:rPr>
          <w:rFonts w:hint="eastAsia" w:cs="宋体"/>
          <w:color w:val="444444"/>
          <w:sz w:val="32"/>
          <w:szCs w:val="32"/>
          <w:shd w:val="clear" w:fill="FFFFFF"/>
          <w:lang w:val="en-US" w:eastAsia="zh-CN"/>
        </w:rPr>
        <w:t xml:space="preserve">  9</w:t>
      </w:r>
      <w:r>
        <w:rPr>
          <w:rFonts w:hint="eastAsia" w:ascii="宋体" w:hAnsi="宋体" w:eastAsia="宋体" w:cs="宋体"/>
          <w:color w:val="444444"/>
          <w:sz w:val="32"/>
          <w:szCs w:val="32"/>
          <w:shd w:val="clear" w:fill="FFFFFF"/>
        </w:rPr>
        <w:t>、会同有关部门做好本辖区人口和计划生育工作；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本部门下设财政所、社会保障和社会救助事务中心、工交安监药监事务中心、卫生计生监督管理所、文教体广电事务中心、农业技术推广事务中心、规划建设环保事务中心,共7个二级机构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本部门所属的7个2级机构都列入了本部门预算。                    </w:t>
      </w:r>
    </w:p>
    <w:p>
      <w:pPr>
        <w:widowControl/>
        <w:spacing w:line="500" w:lineRule="exac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本部门现人员编制 178 人，实有在职人员 145 人，退休人员 48 人，实有车辆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2022 年部门预算即我部门本级预算。我部门 2022 年没有政府性基金预算拨款、国有资本经营预算收入和纳入专户管理的非税收入拨款收入，也没有使用政府性基金预算拨款、国有资本经营预算收入和纳入专户管理的非税收入拨款安排的支出，所以公开的附件 16、17、18、19</w:t>
      </w:r>
      <w:r>
        <w:rPr>
          <w:rFonts w:hint="eastAsia" w:ascii="宋体" w:hAnsi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、20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表均为空。收入包括经费拨款，也包括行政事业性收费收入和国有资源有偿使用收入；支出包括保障机关及所属事业单位基本运行的经费，也包括村级整合项目等项目资金。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年本部门收入预算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1156.82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万元，其中，一般公共预算拨款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1154.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82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万元，政府性基金预算拨款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万元，国有资本经营预算拨款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万元，纳入专户管理的非税收入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万元。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收入较去年增加（减少）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本部门新成立单位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年本部门支出预算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1156.82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万元，其中，一般公共服务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753.71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万元，社会保障和就业支出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30.39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万元，卫生健康支出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21.54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万元，城乡社区支出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247.91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，农林水支出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83.21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，住房保障支出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20.06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万元。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支出较去年增加（减少）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本部门新成立单位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年本部门一般公共预算拨款支出预算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1156.82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万元，其中，一般公共服务支出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53.71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65.15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%；社会保障和就业支出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30.39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2.63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%；卫生健康支出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21.54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1.86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%；城乡社区支出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247.91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21.44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%；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农林水支出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83.21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7.19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%；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住房保障支出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20.06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占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1.73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（一）基本支出：2022年本部门基本支出预算数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692.81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（二）项目支出：2022年本部门项目支出预算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464.01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万元，主要是部门为完成特定行政工作任务或事业发展目标而发生的支出，包括有关事业发展专项、专项业务费、基本建设支出等。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本部门无政府性基金安排的支出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7个事务中心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753.71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与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上年持平 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本部门机关本级、7个事务中心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17.72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村级工作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230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中心工作工作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1156.82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692.81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464.01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bidi="ar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2B7449E"/>
    <w:rsid w:val="075313C3"/>
    <w:rsid w:val="0A5151D8"/>
    <w:rsid w:val="0A564AAB"/>
    <w:rsid w:val="0AEC3CD0"/>
    <w:rsid w:val="0B3202FF"/>
    <w:rsid w:val="0C5F4155"/>
    <w:rsid w:val="0CD65E68"/>
    <w:rsid w:val="0D122A8A"/>
    <w:rsid w:val="0D7511DD"/>
    <w:rsid w:val="0E5A2261"/>
    <w:rsid w:val="0EFE2AC3"/>
    <w:rsid w:val="101D5507"/>
    <w:rsid w:val="10981BDE"/>
    <w:rsid w:val="118066C4"/>
    <w:rsid w:val="11A402E3"/>
    <w:rsid w:val="12F87997"/>
    <w:rsid w:val="14CF5925"/>
    <w:rsid w:val="169871A7"/>
    <w:rsid w:val="184423B4"/>
    <w:rsid w:val="1A045DC3"/>
    <w:rsid w:val="1A4713E9"/>
    <w:rsid w:val="1F122A8F"/>
    <w:rsid w:val="207605B3"/>
    <w:rsid w:val="2284138F"/>
    <w:rsid w:val="23841D23"/>
    <w:rsid w:val="284A5A24"/>
    <w:rsid w:val="29310182"/>
    <w:rsid w:val="2A1C6CCC"/>
    <w:rsid w:val="2B2D5EFA"/>
    <w:rsid w:val="2BD17ACF"/>
    <w:rsid w:val="34CE1050"/>
    <w:rsid w:val="41366754"/>
    <w:rsid w:val="4167540A"/>
    <w:rsid w:val="49233B79"/>
    <w:rsid w:val="52326F0E"/>
    <w:rsid w:val="543D0DF6"/>
    <w:rsid w:val="55386724"/>
    <w:rsid w:val="58A43D6F"/>
    <w:rsid w:val="60DA7950"/>
    <w:rsid w:val="620F6680"/>
    <w:rsid w:val="62287742"/>
    <w:rsid w:val="647D0321"/>
    <w:rsid w:val="65E15E94"/>
    <w:rsid w:val="6B767770"/>
    <w:rsid w:val="703C4095"/>
    <w:rsid w:val="70F326A9"/>
    <w:rsid w:val="74327A0D"/>
    <w:rsid w:val="79183053"/>
    <w:rsid w:val="7A3479A6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3665C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unhideWhenUsed/>
    <w:qFormat/>
    <w:uiPriority w:val="99"/>
    <w:rPr>
      <w:color w:val="0000FF"/>
      <w:u w:val="single"/>
    </w:rPr>
  </w:style>
  <w:style w:type="character" w:styleId="12">
    <w:name w:val="HTML Code"/>
    <w:basedOn w:val="6"/>
    <w:uiPriority w:val="0"/>
    <w:rPr>
      <w:rFonts w:ascii="Courier New" w:hAnsi="Courier New"/>
      <w:sz w:val="20"/>
    </w:rPr>
  </w:style>
  <w:style w:type="character" w:styleId="13">
    <w:name w:val="HTML Ci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2866</Words>
  <Characters>3063</Characters>
  <Lines>0</Lines>
  <Paragraphs>0</Paragraphs>
  <TotalTime>5</TotalTime>
  <ScaleCrop>false</ScaleCrop>
  <LinksUpToDate>false</LinksUpToDate>
  <CharactersWithSpaces>3298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F3F4A26AFC324D5997F896F11EBFF0D7</vt:lpwstr>
  </property>
</Properties>
</file>