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spacing w:before="0" w:beforeAutospacing="0" w:after="0" w:afterAutospacing="0" w:line="600" w:lineRule="exact"/>
        <w:ind w:left="0" w:right="0"/>
        <w:jc w:val="center"/>
        <w:rPr>
          <w:color w:val="auto"/>
          <w:sz w:val="44"/>
          <w:szCs w:val="44"/>
        </w:rPr>
      </w:pPr>
      <w:r>
        <w:rPr>
          <w:rFonts w:hint="eastAsia" w:ascii="黑体" w:hAnsi="宋体" w:eastAsia="黑体" w:cs="黑体"/>
          <w:b/>
          <w:color w:val="auto"/>
          <w:kern w:val="0"/>
          <w:sz w:val="44"/>
          <w:szCs w:val="44"/>
          <w:shd w:val="clear" w:color="auto" w:fill="F6F6F6"/>
          <w:lang w:val="en-US" w:eastAsia="zh-CN" w:bidi="ar"/>
        </w:rPr>
        <w:t>2022年</w:t>
      </w:r>
      <w:r>
        <w:rPr>
          <w:rFonts w:hint="eastAsia" w:ascii="黑体" w:hAnsi="宋体" w:eastAsia="黑体" w:cs="黑体"/>
          <w:b/>
          <w:color w:val="auto"/>
          <w:kern w:val="0"/>
          <w:sz w:val="44"/>
          <w:szCs w:val="44"/>
          <w:u w:val="single"/>
          <w:shd w:val="clear" w:color="auto" w:fill="F6F6F6"/>
          <w:lang w:val="en-US" w:eastAsia="zh-CN" w:bidi="ar"/>
        </w:rPr>
        <w:t xml:space="preserve"> 新田县退役军人事务局 </w:t>
      </w:r>
      <w:r>
        <w:rPr>
          <w:rFonts w:hint="eastAsia" w:ascii="黑体" w:hAnsi="宋体" w:eastAsia="黑体" w:cs="黑体"/>
          <w:b/>
          <w:color w:val="auto"/>
          <w:kern w:val="0"/>
          <w:sz w:val="44"/>
          <w:szCs w:val="44"/>
          <w:shd w:val="clear" w:color="auto" w:fill="F6F6F6"/>
          <w:lang w:val="en-US" w:eastAsia="zh-CN" w:bidi="ar"/>
        </w:rPr>
        <w:t>部门预算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黑体" w:hAnsi="宋体" w:eastAsia="黑体" w:cs="黑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right="0"/>
        <w:jc w:val="center"/>
        <w:rPr>
          <w:rFonts w:hint="eastAsia" w:ascii="黑体" w:hAnsi="黑体" w:eastAsia="黑体" w:cs="黑体"/>
          <w:color w:val="auto"/>
          <w:sz w:val="44"/>
          <w:szCs w:val="44"/>
        </w:rPr>
      </w:pPr>
      <w:r>
        <w:rPr>
          <w:rFonts w:hint="eastAsia" w:ascii="黑体" w:hAnsi="黑体" w:eastAsia="黑体" w:cs="黑体"/>
          <w:color w:val="auto"/>
          <w:sz w:val="44"/>
          <w:szCs w:val="44"/>
        </w:rPr>
        <w:t>目 录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 w:firstLine="643" w:firstLineChars="200"/>
        <w:jc w:val="left"/>
        <w:rPr>
          <w:rFonts w:hint="eastAsia" w:ascii="楷体" w:hAnsi="楷体" w:eastAsia="楷体" w:cs="楷体"/>
          <w:b/>
          <w:bCs/>
          <w:color w:val="auto"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lang w:eastAsia="zh-CN"/>
        </w:rPr>
        <w:t>第一部分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lang w:val="en-US" w:eastAsia="zh-CN"/>
        </w:rPr>
        <w:t xml:space="preserve"> 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</w:rPr>
        <w:t>202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lang w:val="en-US" w:eastAsia="zh-CN"/>
        </w:rPr>
        <w:t>2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</w:rPr>
        <w:t>年部门预算说明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120" w:leftChars="0" w:right="0" w:rightChars="0" w:firstLine="640" w:firstLineChars="200"/>
        <w:jc w:val="left"/>
        <w:rPr>
          <w:rFonts w:hint="eastAsia" w:ascii="楷体" w:hAnsi="楷体" w:eastAsia="楷体" w:cs="楷体"/>
          <w:color w:val="auto"/>
          <w:sz w:val="32"/>
          <w:szCs w:val="32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一、</w:t>
      </w:r>
      <w:r>
        <w:rPr>
          <w:rFonts w:hint="eastAsia" w:ascii="楷体" w:hAnsi="楷体" w:eastAsia="楷体" w:cs="楷体"/>
          <w:color w:val="auto"/>
          <w:sz w:val="32"/>
          <w:szCs w:val="32"/>
        </w:rPr>
        <w:t>部门基本概况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120" w:leftChars="0" w:right="0" w:rightChars="0" w:firstLine="640" w:firstLineChars="200"/>
        <w:jc w:val="left"/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二、部门预算单位构成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120" w:leftChars="0" w:right="0" w:rightChars="0" w:firstLine="640" w:firstLineChars="200"/>
        <w:jc w:val="left"/>
        <w:rPr>
          <w:rFonts w:hint="eastAsia" w:ascii="楷体" w:hAnsi="楷体" w:eastAsia="楷体" w:cs="楷体"/>
          <w:color w:val="auto"/>
          <w:sz w:val="32"/>
          <w:szCs w:val="32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三、</w:t>
      </w:r>
      <w:r>
        <w:rPr>
          <w:rFonts w:hint="eastAsia" w:ascii="楷体" w:hAnsi="楷体" w:eastAsia="楷体" w:cs="楷体"/>
          <w:color w:val="auto"/>
          <w:sz w:val="32"/>
          <w:szCs w:val="32"/>
        </w:rPr>
        <w:t>部门收支总体情况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120" w:leftChars="0" w:right="0" w:rightChars="0" w:firstLine="640" w:firstLineChars="200"/>
        <w:jc w:val="left"/>
        <w:rPr>
          <w:rFonts w:hint="eastAsia" w:ascii="楷体" w:hAnsi="楷体" w:eastAsia="楷体" w:cs="楷体"/>
          <w:color w:val="auto"/>
          <w:sz w:val="32"/>
          <w:szCs w:val="32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四、</w:t>
      </w:r>
      <w:r>
        <w:rPr>
          <w:rFonts w:hint="eastAsia" w:ascii="楷体" w:hAnsi="楷体" w:eastAsia="楷体" w:cs="楷体"/>
          <w:color w:val="auto"/>
          <w:sz w:val="32"/>
          <w:szCs w:val="32"/>
        </w:rPr>
        <w:t>一般公共预算拨款支出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120" w:leftChars="0" w:right="0" w:rightChars="0" w:firstLine="640" w:firstLineChars="200"/>
        <w:jc w:val="left"/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五、政府性基金预算支出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120" w:leftChars="0" w:right="0" w:rightChars="0" w:firstLine="640" w:firstLineChars="200"/>
        <w:jc w:val="left"/>
        <w:rPr>
          <w:rFonts w:hint="eastAsia" w:ascii="楷体" w:hAnsi="楷体" w:eastAsia="楷体" w:cs="楷体"/>
          <w:color w:val="auto"/>
          <w:sz w:val="32"/>
          <w:szCs w:val="32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六、</w:t>
      </w:r>
      <w:r>
        <w:rPr>
          <w:rFonts w:hint="eastAsia" w:ascii="楷体" w:hAnsi="楷体" w:eastAsia="楷体" w:cs="楷体"/>
          <w:color w:val="auto"/>
          <w:sz w:val="32"/>
          <w:szCs w:val="32"/>
        </w:rPr>
        <w:t>其他重要事项的情况说明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120" w:leftChars="0" w:right="0" w:rightChars="0" w:firstLine="640" w:firstLineChars="200"/>
        <w:jc w:val="left"/>
        <w:rPr>
          <w:rFonts w:hint="eastAsia" w:ascii="楷体" w:hAnsi="楷体" w:eastAsia="楷体" w:cs="楷体"/>
          <w:color w:val="auto"/>
          <w:sz w:val="32"/>
          <w:szCs w:val="32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七、</w:t>
      </w:r>
      <w:r>
        <w:rPr>
          <w:rFonts w:hint="eastAsia" w:ascii="楷体" w:hAnsi="楷体" w:eastAsia="楷体" w:cs="楷体"/>
          <w:color w:val="auto"/>
          <w:sz w:val="32"/>
          <w:szCs w:val="32"/>
        </w:rPr>
        <w:t>名词解释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 w:firstLine="643" w:firstLineChars="200"/>
        <w:jc w:val="left"/>
        <w:rPr>
          <w:rFonts w:hint="eastAsia" w:ascii="楷体" w:hAnsi="楷体" w:eastAsia="楷体" w:cs="楷体"/>
          <w:b/>
          <w:bCs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楷体" w:hAnsi="楷体" w:eastAsia="楷体" w:cs="楷体"/>
          <w:b/>
          <w:bCs/>
          <w:color w:val="auto"/>
          <w:sz w:val="32"/>
          <w:szCs w:val="32"/>
        </w:rPr>
        <w:t>第二部分 202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lang w:val="en-US" w:eastAsia="zh-CN"/>
        </w:rPr>
        <w:t>2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</w:rPr>
        <w:t>年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lang w:eastAsia="zh-CN"/>
        </w:rPr>
        <w:t>部门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</w:rPr>
        <w:t>预算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lang w:eastAsia="zh-CN"/>
        </w:rPr>
        <w:t>公开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</w:rPr>
        <w:t>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1.收支总表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2.收入总表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3</w:t>
      </w: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ab/>
      </w: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.支出总表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4</w:t>
      </w: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ab/>
      </w: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.支出预算分类汇总表（按政府预算经济分类）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5</w:t>
      </w: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ab/>
      </w: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.支出预算分类汇总表（按部门预算经济分类）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6.财政拨款收支总表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7.一般公共预算支出表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8.一般公共预算基本支出表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9.一般公共预算基本支出表--人员经费(工资福利支出)(按政府预算经济分类)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10.一般公共预算基本支出表--人员经费(工资福利支出)(按部门预算经济分类)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11.一般公共预算基本支出表--人员经费(对个人和家庭的补助)(按政府预算经济分类)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12.一般公共预算基本支出表--人员经费(对个人和家庭的补助)（按部门预算经济分类）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13.一般公共预算基本支出表--公用经费(商品和服务支出)（按政府预算经济分类）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14.一般公共预算基本支出表--公用经费(商品和服务支出)(按部门预算经济分类)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15.一般公共预算“三公”经费支出表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16.政府性基金预算支出表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17.政府性基金预算支出分类汇总表（按政府预算经济分类）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18.政府性基金预算支出分类汇总表（按部门预算经济分类）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19.国有资本经营预算支出表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20.财政专户管理资金预算支出表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21.2022年部门整体支出绩效目标表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22.政府采购预算表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23.政府购买服务支出预算表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right="0"/>
        <w:jc w:val="left"/>
        <w:rPr>
          <w:rFonts w:hint="eastAsia" w:ascii="黑体" w:hAnsi="宋体" w:eastAsia="黑体" w:cs="黑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</w:p>
    <w:p>
      <w:pPr>
        <w:widowControl/>
        <w:spacing w:line="600" w:lineRule="exact"/>
        <w:ind w:firstLine="640" w:firstLineChars="200"/>
        <w:rPr>
          <w:rFonts w:eastAsia="仿宋_GB2312"/>
          <w:bCs/>
          <w:color w:val="auto"/>
          <w:kern w:val="0"/>
          <w:sz w:val="32"/>
          <w:szCs w:val="32"/>
        </w:rPr>
      </w:pPr>
      <w:r>
        <w:rPr>
          <w:rFonts w:eastAsia="仿宋_GB2312"/>
          <w:bCs/>
          <w:color w:val="auto"/>
          <w:kern w:val="0"/>
          <w:sz w:val="32"/>
          <w:szCs w:val="32"/>
        </w:rPr>
        <w:t>注：以上部门预算报表中，空表表示本部门无相关收支情况。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exact"/>
        <w:ind w:left="0" w:right="0"/>
        <w:jc w:val="center"/>
        <w:rPr>
          <w:rFonts w:hint="eastAsia" w:ascii="黑体" w:hAnsi="宋体" w:eastAsia="黑体" w:cs="黑体"/>
          <w:b/>
          <w:color w:val="auto"/>
          <w:kern w:val="0"/>
          <w:sz w:val="36"/>
          <w:szCs w:val="36"/>
          <w:shd w:val="clear" w:color="auto" w:fill="F6F6F6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exact"/>
        <w:ind w:left="0" w:right="0"/>
        <w:jc w:val="center"/>
        <w:rPr>
          <w:color w:val="auto"/>
        </w:rPr>
      </w:pPr>
      <w:r>
        <w:rPr>
          <w:rFonts w:hint="eastAsia" w:ascii="黑体" w:hAnsi="宋体" w:eastAsia="黑体" w:cs="黑体"/>
          <w:b/>
          <w:color w:val="auto"/>
          <w:kern w:val="0"/>
          <w:sz w:val="36"/>
          <w:szCs w:val="36"/>
          <w:shd w:val="clear" w:color="auto" w:fill="F6F6F6"/>
          <w:lang w:val="en-US" w:eastAsia="zh-CN" w:bidi="ar"/>
        </w:rPr>
        <w:t>第一部分 2022年部门预算说明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黑体" w:hAnsi="宋体" w:eastAsia="黑体" w:cs="黑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color w:val="auto"/>
        </w:rPr>
      </w:pPr>
      <w:r>
        <w:rPr>
          <w:rFonts w:hint="eastAsia" w:ascii="黑体" w:hAnsi="宋体" w:eastAsia="黑体" w:cs="黑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一、部门基本概况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1、职能职责。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（1）贯彻执行党和国家关于退役军人思想政治、管理保障和安置优抚等工作政策法规，组织实施省退役军人事务部门制定的有关地方性法规、规章，拟定全县退役军人事务发展规划和工作计划，并组织实施；褒扬彰显退役军人为党、国家和人民牺牲奉献的精神风范和价值导向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（2）负责全县军队转业干部、复员干部、离休退休干部、退役士兵和无军籍退休退职职工的移交安置工作和自主择业、就业退役军人服务管理工作。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（3）组织指导全县退役军人教育培训工作，协调扶持退役军人和随军随调家属就业创业。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（4）贯彻落实国家关于退役军人的特殊保障政策，组织实施省、市退役军人事务部门会同有关部门制定的相关政策。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（5）组织协调落实全县移交地方的离休退休军人、符合条件的其他退役军人和无军籍退休退职职工的住房保障工作，以及退役军人医疗保障、社会保障等待遇保障工作。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（6）组织指导全县伤病残退役军人服务管理和抚恤工作，贯彻落实退役军人医疗、疗养、养老等机构的规划政策并指导实施。承担全县不适宜继续服役的伤病残军人相关工作。组织指导全县军供服务保障工作。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（7）组织和指导全县拥军优属工作。负责全县现役军人、退役军人、军队文职人员和军属优待、抚恤等工作；贯彻执行国家关于国民党抗战老兵等有关人员优待政策并指导实施。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（8）负责全县烈士及退役军人荣誉奖励、军人公墓管理维护、纪念活动等工作，依法承担英雄烈士保护相关工作，审核拟列入全县重点保护单位的烈士纪念建筑物名录，总结表彰和宣扬退役军人、退役军人工作单位和个人先进典型事迹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（9）指导并监督检查退役军人相关法律法规和政策措施的落实；开展全县退役军人权益维护和有关人员的帮扶援助工作。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（10）完成县委、县政府交办的其他任务。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（11）职能转变。县退役军人局应加强退役军人思想政治工作和服务保障体系建设，建立健全集中统一、职责清晰的退役军人管理保障体制，协调各方力量更好为军人军属服务，维护军人军属合法权益，让军人成为全社会尊崇的职业，褒扬彰显退役军人为党、国家和人民牺牲奉献的精神风范和价值导向，更好地的增强部队战斗力和凝聚力做好组织保障。</w:t>
      </w:r>
    </w:p>
    <w:p>
      <w:pPr>
        <w:pStyle w:val="3"/>
        <w:spacing w:beforeAutospacing="0" w:afterAutospacing="0" w:line="600" w:lineRule="exact"/>
        <w:ind w:firstLine="640" w:firstLineChars="200"/>
        <w:jc w:val="both"/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、机构设置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。</w:t>
      </w:r>
    </w:p>
    <w:p>
      <w:pPr>
        <w:pStyle w:val="3"/>
        <w:spacing w:beforeAutospacing="0" w:afterAutospacing="0" w:line="600" w:lineRule="exact"/>
        <w:ind w:firstLine="640" w:firstLineChars="200"/>
        <w:jc w:val="both"/>
        <w:rPr>
          <w:sz w:val="32"/>
          <w:szCs w:val="32"/>
        </w:rPr>
      </w:pPr>
      <w:r>
        <w:rPr>
          <w:rFonts w:ascii="仿宋_GB2312" w:hAnsi="Times New Roman" w:eastAsia="仿宋_GB2312" w:cs="仿宋_GB2312"/>
          <w:sz w:val="32"/>
          <w:szCs w:val="32"/>
        </w:rPr>
        <w:t>根据编委核定，我</w:t>
      </w:r>
      <w:r>
        <w:rPr>
          <w:rFonts w:hint="eastAsia" w:ascii="仿宋_GB2312" w:hAnsi="Times New Roman" w:eastAsia="仿宋_GB2312" w:cs="仿宋_GB2312"/>
          <w:sz w:val="32"/>
          <w:szCs w:val="32"/>
        </w:rPr>
        <w:t>局</w:t>
      </w:r>
      <w:r>
        <w:rPr>
          <w:rFonts w:ascii="仿宋_GB2312" w:hAnsi="Times New Roman" w:eastAsia="仿宋_GB2312" w:cs="仿宋_GB2312"/>
          <w:sz w:val="32"/>
          <w:szCs w:val="32"/>
        </w:rPr>
        <w:t>内设</w:t>
      </w:r>
      <w:r>
        <w:rPr>
          <w:rFonts w:hint="eastAsia" w:ascii="仿宋_GB2312" w:hAnsi="Times New Roman" w:eastAsia="仿宋_GB2312" w:cs="仿宋_GB2312"/>
          <w:sz w:val="32"/>
          <w:szCs w:val="32"/>
        </w:rPr>
        <w:t>股室</w:t>
      </w:r>
      <w:r>
        <w:rPr>
          <w:rFonts w:hint="eastAsia" w:ascii="仿宋_GB2312" w:hAnsi="Times New Roman" w:eastAsia="仿宋_GB2312" w:cs="仿宋_GB2312"/>
          <w:sz w:val="32"/>
          <w:szCs w:val="32"/>
          <w:u w:val="single"/>
        </w:rPr>
        <w:t>5</w:t>
      </w:r>
      <w:r>
        <w:rPr>
          <w:rFonts w:ascii="仿宋_GB2312" w:hAnsi="Times New Roman" w:eastAsia="仿宋_GB2312" w:cs="仿宋_GB2312"/>
          <w:sz w:val="32"/>
          <w:szCs w:val="32"/>
        </w:rPr>
        <w:t>个，所属事业单位</w:t>
      </w:r>
      <w:r>
        <w:rPr>
          <w:rFonts w:hint="eastAsia" w:ascii="仿宋_GB2312" w:hAnsi="Times New Roman" w:eastAsia="仿宋_GB2312" w:cs="仿宋_GB2312"/>
          <w:sz w:val="32"/>
          <w:szCs w:val="32"/>
          <w:u w:val="single"/>
        </w:rPr>
        <w:t>4</w:t>
      </w:r>
      <w:r>
        <w:rPr>
          <w:rFonts w:ascii="仿宋_GB2312" w:hAnsi="Times New Roman" w:eastAsia="仿宋_GB2312" w:cs="仿宋_GB2312"/>
          <w:sz w:val="32"/>
          <w:szCs w:val="32"/>
        </w:rPr>
        <w:t>个。</w:t>
      </w:r>
    </w:p>
    <w:p>
      <w:pPr>
        <w:pStyle w:val="3"/>
        <w:spacing w:beforeAutospacing="0" w:afterAutospacing="0" w:line="600" w:lineRule="exact"/>
        <w:ind w:firstLine="640" w:firstLineChars="200"/>
        <w:jc w:val="both"/>
        <w:rPr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内设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股</w:t>
      </w:r>
      <w:r>
        <w:rPr>
          <w:rFonts w:ascii="Times New Roman" w:hAnsi="Times New Roman" w:eastAsia="仿宋_GB2312" w:cs="Times New Roman"/>
          <w:sz w:val="32"/>
          <w:szCs w:val="32"/>
        </w:rPr>
        <w:t>室分别是拥军优抚股、思想权益和政策法规股、就业创业和移交安置股、规划财务股、办公室。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所属事业单位分别是退役军人服务中心、军休所、烈士纪念设施管理所、光荣院。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黑体" w:hAnsi="宋体" w:eastAsia="黑体" w:cs="黑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黑体" w:hAnsi="宋体" w:eastAsia="黑体" w:cs="黑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二、部门预算单位构成</w:t>
      </w:r>
    </w:p>
    <w:p>
      <w:pPr>
        <w:widowControl/>
        <w:spacing w:line="600" w:lineRule="exact"/>
        <w:ind w:firstLine="627" w:firstLineChars="196"/>
        <w:jc w:val="left"/>
        <w:rPr>
          <w:rFonts w:eastAsia="仿宋_GB2312"/>
          <w:color w:val="auto"/>
          <w:sz w:val="32"/>
          <w:szCs w:val="32"/>
        </w:rPr>
      </w:pPr>
      <w:r>
        <w:rPr>
          <w:rFonts w:eastAsia="仿宋_GB2312"/>
          <w:color w:val="auto"/>
          <w:sz w:val="32"/>
          <w:szCs w:val="32"/>
        </w:rPr>
        <w:t>本部门预算为汇总预算，纳入编制范围的预算单位包括：</w:t>
      </w:r>
    </w:p>
    <w:p>
      <w:pPr>
        <w:widowControl/>
        <w:spacing w:line="600" w:lineRule="exact"/>
        <w:ind w:firstLine="627" w:firstLineChars="196"/>
        <w:jc w:val="left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1、</w:t>
      </w:r>
      <w:r>
        <w:rPr>
          <w:rFonts w:hint="eastAsia" w:ascii="仿宋_GB2312" w:eastAsia="仿宋_GB2312" w:cs="仿宋_GB2312"/>
          <w:sz w:val="32"/>
          <w:szCs w:val="32"/>
        </w:rPr>
        <w:t>新田县退役军人事务局</w:t>
      </w:r>
      <w:r>
        <w:rPr>
          <w:rFonts w:eastAsia="仿宋_GB2312"/>
          <w:sz w:val="32"/>
          <w:szCs w:val="32"/>
        </w:rPr>
        <w:t>部门本级</w:t>
      </w:r>
    </w:p>
    <w:p>
      <w:pPr>
        <w:widowControl/>
        <w:spacing w:line="600" w:lineRule="exact"/>
        <w:ind w:firstLine="627" w:firstLineChars="196"/>
        <w:jc w:val="left"/>
        <w:rPr>
          <w:rFonts w:ascii="黑体" w:hAnsi="宋体" w:eastAsia="黑体" w:cs="黑体"/>
          <w:kern w:val="0"/>
          <w:sz w:val="32"/>
          <w:szCs w:val="32"/>
        </w:rPr>
      </w:pPr>
      <w:r>
        <w:rPr>
          <w:rFonts w:eastAsia="仿宋_GB2312"/>
          <w:sz w:val="32"/>
          <w:szCs w:val="32"/>
        </w:rPr>
        <w:t>2、</w:t>
      </w:r>
      <w:r>
        <w:rPr>
          <w:rFonts w:eastAsia="仿宋_GB2312"/>
          <w:kern w:val="0"/>
          <w:sz w:val="32"/>
          <w:szCs w:val="32"/>
        </w:rPr>
        <w:t>退役军人服务中心、军休所、烈士纪念设施管理所、光荣院。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color w:val="auto"/>
        </w:rPr>
      </w:pPr>
      <w:r>
        <w:rPr>
          <w:rFonts w:hint="eastAsia" w:ascii="黑体" w:hAnsi="宋体" w:eastAsia="黑体" w:cs="黑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三、部门收支总体情况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202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 xml:space="preserve"> 年部门预算即我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部门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本级预算。我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部门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 xml:space="preserve"> 202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 xml:space="preserve"> 年没有政府性基金预算拨款、国有资本经营预算收入和纳入专户管理的非税收入拨款收入，也没有使用政府性基金预算拨款、国有资本经营预算收入和纳入专户管理的非税收入拨款安排的支出，所以公开的附件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16、17、18、19、20</w:t>
      </w:r>
      <w:bookmarkStart w:id="0" w:name="_GoBack"/>
      <w:bookmarkEnd w:id="0"/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表均为空。收入包括经费拨款，也包括行政事业性收费收入和国有资源有偿使用收入；支出包括保障机关及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所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属事业单位基本运行的经费，也包括</w:t>
      </w:r>
      <w:r>
        <w:rPr>
          <w:rFonts w:ascii="仿宋_GB2312" w:eastAsia="仿宋_GB2312" w:cs="仿宋_GB2312"/>
          <w:sz w:val="32"/>
          <w:szCs w:val="32"/>
        </w:rPr>
        <w:t>企业军转干部管理专项经费、退役军人优抚安置专项工作经费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等项目经费。</w:t>
      </w:r>
    </w:p>
    <w:p>
      <w:pPr>
        <w:widowControl/>
        <w:spacing w:line="600" w:lineRule="exact"/>
        <w:ind w:firstLine="643" w:firstLineChars="200"/>
        <w:rPr>
          <w:rFonts w:eastAsia="仿宋_GB2312"/>
          <w:b/>
          <w:color w:val="auto"/>
          <w:sz w:val="32"/>
          <w:szCs w:val="32"/>
        </w:rPr>
      </w:pPr>
      <w:r>
        <w:rPr>
          <w:rFonts w:eastAsia="楷体_GB2312"/>
          <w:b/>
          <w:color w:val="auto"/>
          <w:sz w:val="32"/>
          <w:szCs w:val="32"/>
        </w:rPr>
        <w:t>（一）收入预算：</w:t>
      </w:r>
      <w:r>
        <w:rPr>
          <w:rFonts w:eastAsia="仿宋_GB2312"/>
          <w:color w:val="auto"/>
          <w:sz w:val="32"/>
          <w:szCs w:val="32"/>
        </w:rPr>
        <w:t>包括一般公共预算、政府性基金、国有资本经营预算等财政拨款收入，以及经营收入、事业收入等单位资金。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2022</w:t>
      </w:r>
      <w:r>
        <w:rPr>
          <w:rFonts w:eastAsia="仿宋_GB2312"/>
          <w:color w:val="auto"/>
          <w:sz w:val="32"/>
          <w:szCs w:val="32"/>
        </w:rPr>
        <w:t>年本部门收入预算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204.23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eastAsia="仿宋_GB2312"/>
          <w:color w:val="auto"/>
          <w:sz w:val="32"/>
          <w:szCs w:val="32"/>
        </w:rPr>
        <w:t>万元，其中，一般公共预算拨款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204.23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eastAsia="仿宋_GB2312"/>
          <w:color w:val="auto"/>
          <w:sz w:val="32"/>
          <w:szCs w:val="32"/>
        </w:rPr>
        <w:t>万元，政府性基金预算拨款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eastAsia="仿宋_GB2312"/>
          <w:color w:val="auto"/>
          <w:sz w:val="32"/>
          <w:szCs w:val="32"/>
        </w:rPr>
        <w:t>万元，国有资本经营预算拨款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</w:rPr>
        <w:t>万元，纳入专户管理的非税收入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</w:rPr>
        <w:t>万元。</w:t>
      </w:r>
      <w:r>
        <w:rPr>
          <w:rFonts w:eastAsia="仿宋_GB2312"/>
          <w:b/>
          <w:color w:val="auto"/>
          <w:sz w:val="32"/>
          <w:szCs w:val="32"/>
        </w:rPr>
        <w:t>收入较去年增加</w:t>
      </w:r>
      <w:r>
        <w:rPr>
          <w:rFonts w:eastAsia="仿宋_GB2312"/>
          <w:b/>
          <w:color w:val="auto"/>
          <w:sz w:val="32"/>
          <w:szCs w:val="32"/>
          <w:u w:val="single"/>
        </w:rPr>
        <w:t xml:space="preserve"> </w:t>
      </w:r>
      <w:r>
        <w:rPr>
          <w:rFonts w:hint="eastAsia" w:eastAsia="仿宋_GB2312"/>
          <w:b/>
          <w:color w:val="auto"/>
          <w:sz w:val="32"/>
          <w:szCs w:val="32"/>
          <w:u w:val="single"/>
          <w:lang w:val="en-US" w:eastAsia="zh-CN"/>
        </w:rPr>
        <w:t>21.73</w:t>
      </w:r>
      <w:r>
        <w:rPr>
          <w:rFonts w:eastAsia="仿宋_GB2312"/>
          <w:b/>
          <w:color w:val="auto"/>
          <w:sz w:val="32"/>
          <w:szCs w:val="32"/>
          <w:u w:val="single"/>
        </w:rPr>
        <w:t xml:space="preserve"> </w:t>
      </w:r>
      <w:r>
        <w:rPr>
          <w:rFonts w:eastAsia="仿宋_GB2312"/>
          <w:b/>
          <w:color w:val="auto"/>
          <w:sz w:val="32"/>
          <w:szCs w:val="32"/>
        </w:rPr>
        <w:t>万元，主要是</w:t>
      </w:r>
      <w:r>
        <w:rPr>
          <w:rFonts w:hint="eastAsia" w:eastAsia="仿宋_GB2312"/>
          <w:b/>
          <w:color w:val="auto"/>
          <w:sz w:val="32"/>
          <w:szCs w:val="32"/>
        </w:rPr>
        <w:t>人员经费</w:t>
      </w:r>
      <w:r>
        <w:rPr>
          <w:rFonts w:eastAsia="仿宋_GB2312"/>
          <w:b/>
          <w:color w:val="auto"/>
          <w:sz w:val="32"/>
          <w:szCs w:val="32"/>
        </w:rPr>
        <w:t>拨款增加</w:t>
      </w:r>
      <w:r>
        <w:rPr>
          <w:rFonts w:hint="eastAsia" w:eastAsia="仿宋_GB2312"/>
          <w:b/>
          <w:color w:val="auto"/>
          <w:sz w:val="32"/>
          <w:szCs w:val="32"/>
          <w:u w:val="single"/>
          <w:lang w:val="en-US" w:eastAsia="zh-CN"/>
        </w:rPr>
        <w:t>21.73</w:t>
      </w:r>
      <w:r>
        <w:rPr>
          <w:rFonts w:eastAsia="仿宋_GB2312"/>
          <w:b/>
          <w:color w:val="auto"/>
          <w:sz w:val="32"/>
          <w:szCs w:val="32"/>
        </w:rPr>
        <w:t>万元。</w:t>
      </w:r>
    </w:p>
    <w:p>
      <w:pPr>
        <w:widowControl/>
        <w:spacing w:line="600" w:lineRule="exact"/>
        <w:ind w:firstLine="630" w:firstLineChars="196"/>
        <w:jc w:val="left"/>
        <w:rPr>
          <w:rFonts w:eastAsia="仿宋_GB2312"/>
          <w:b/>
          <w:color w:val="auto"/>
          <w:sz w:val="32"/>
          <w:szCs w:val="32"/>
        </w:rPr>
      </w:pPr>
      <w:r>
        <w:rPr>
          <w:rFonts w:eastAsia="楷体_GB2312"/>
          <w:b/>
          <w:color w:val="auto"/>
          <w:sz w:val="32"/>
          <w:szCs w:val="32"/>
        </w:rPr>
        <w:t>（二）支出预算：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2022</w:t>
      </w:r>
      <w:r>
        <w:rPr>
          <w:rFonts w:eastAsia="仿宋_GB2312"/>
          <w:color w:val="auto"/>
          <w:sz w:val="32"/>
          <w:szCs w:val="32"/>
        </w:rPr>
        <w:t>年本部门支出预算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204.23</w:t>
      </w:r>
      <w:r>
        <w:rPr>
          <w:rFonts w:eastAsia="仿宋_GB2312"/>
          <w:color w:val="auto"/>
          <w:sz w:val="32"/>
          <w:szCs w:val="32"/>
        </w:rPr>
        <w:t>万元，其中，一般公共服务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204.23</w:t>
      </w:r>
      <w:r>
        <w:rPr>
          <w:rFonts w:eastAsia="仿宋_GB2312"/>
          <w:color w:val="auto"/>
          <w:sz w:val="32"/>
          <w:szCs w:val="32"/>
        </w:rPr>
        <w:t>万元，公共安全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eastAsia="仿宋_GB2312"/>
          <w:color w:val="auto"/>
          <w:sz w:val="32"/>
          <w:szCs w:val="32"/>
        </w:rPr>
        <w:t>万元，教育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eastAsia="仿宋_GB2312"/>
          <w:color w:val="auto"/>
          <w:sz w:val="32"/>
          <w:szCs w:val="32"/>
        </w:rPr>
        <w:t>万元，科学技术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</w:rPr>
        <w:t>万元。</w:t>
      </w:r>
      <w:r>
        <w:rPr>
          <w:rFonts w:eastAsia="仿宋_GB2312"/>
          <w:b/>
          <w:color w:val="auto"/>
          <w:sz w:val="32"/>
          <w:szCs w:val="32"/>
        </w:rPr>
        <w:t>支出较去年增加</w:t>
      </w:r>
      <w:r>
        <w:rPr>
          <w:rFonts w:hint="eastAsia" w:eastAsia="仿宋_GB2312"/>
          <w:b/>
          <w:color w:val="auto"/>
          <w:sz w:val="32"/>
          <w:szCs w:val="32"/>
          <w:u w:val="single"/>
          <w:lang w:val="en-US" w:eastAsia="zh-CN"/>
        </w:rPr>
        <w:t>21.73</w:t>
      </w:r>
      <w:r>
        <w:rPr>
          <w:rFonts w:eastAsia="仿宋_GB2312"/>
          <w:b/>
          <w:color w:val="auto"/>
          <w:sz w:val="32"/>
          <w:szCs w:val="32"/>
        </w:rPr>
        <w:t>万元，主要是基本支出增加</w:t>
      </w:r>
      <w:r>
        <w:rPr>
          <w:rFonts w:hint="eastAsia" w:eastAsia="仿宋_GB2312"/>
          <w:b/>
          <w:color w:val="auto"/>
          <w:sz w:val="32"/>
          <w:szCs w:val="32"/>
          <w:u w:val="single"/>
          <w:lang w:val="en-US" w:eastAsia="zh-CN"/>
        </w:rPr>
        <w:t>21.73</w:t>
      </w:r>
      <w:r>
        <w:rPr>
          <w:rFonts w:eastAsia="仿宋_GB2312"/>
          <w:b/>
          <w:color w:val="auto"/>
          <w:sz w:val="32"/>
          <w:szCs w:val="32"/>
        </w:rPr>
        <w:t>万元，项目支出增加</w:t>
      </w:r>
      <w:r>
        <w:rPr>
          <w:rFonts w:hint="eastAsia" w:eastAsia="仿宋_GB2312"/>
          <w:b/>
          <w:color w:val="auto"/>
          <w:sz w:val="32"/>
          <w:szCs w:val="32"/>
          <w:u w:val="single"/>
        </w:rPr>
        <w:t>0</w:t>
      </w:r>
      <w:r>
        <w:rPr>
          <w:rFonts w:eastAsia="仿宋_GB2312"/>
          <w:b/>
          <w:color w:val="auto"/>
          <w:sz w:val="32"/>
          <w:szCs w:val="32"/>
        </w:rPr>
        <w:t>万元。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60"/>
        <w:jc w:val="left"/>
        <w:rPr>
          <w:color w:val="auto"/>
        </w:rPr>
      </w:pPr>
      <w:r>
        <w:rPr>
          <w:rFonts w:hint="eastAsia" w:ascii="黑体" w:hAnsi="宋体" w:eastAsia="黑体" w:cs="黑体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四、一般公共预算拨款支出</w:t>
      </w:r>
    </w:p>
    <w:p>
      <w:pPr>
        <w:widowControl/>
        <w:spacing w:line="600" w:lineRule="exact"/>
        <w:ind w:firstLine="660"/>
        <w:jc w:val="left"/>
        <w:rPr>
          <w:rFonts w:eastAsia="黑体"/>
          <w:color w:val="auto"/>
          <w:sz w:val="32"/>
          <w:szCs w:val="32"/>
        </w:rPr>
      </w:pPr>
      <w:r>
        <w:rPr>
          <w:rFonts w:hint="eastAsia" w:eastAsia="仿宋_GB2312"/>
          <w:color w:val="auto"/>
          <w:sz w:val="32"/>
          <w:szCs w:val="32"/>
          <w:lang w:val="en-US" w:eastAsia="zh-CN"/>
        </w:rPr>
        <w:t>2022</w:t>
      </w:r>
      <w:r>
        <w:rPr>
          <w:rFonts w:eastAsia="仿宋_GB2312"/>
          <w:color w:val="auto"/>
          <w:sz w:val="32"/>
          <w:szCs w:val="32"/>
        </w:rPr>
        <w:t>年本部门一般公共预算拨款支出预算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204.23</w:t>
      </w:r>
      <w:r>
        <w:rPr>
          <w:rFonts w:eastAsia="仿宋_GB2312"/>
          <w:color w:val="auto"/>
          <w:sz w:val="32"/>
          <w:szCs w:val="32"/>
        </w:rPr>
        <w:t>万元，其中，一般公共服务支出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204.23</w:t>
      </w:r>
      <w:r>
        <w:rPr>
          <w:rFonts w:eastAsia="仿宋_GB2312"/>
          <w:color w:val="auto"/>
          <w:sz w:val="32"/>
          <w:szCs w:val="32"/>
        </w:rPr>
        <w:t>万元，占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100</w:t>
      </w:r>
      <w:r>
        <w:rPr>
          <w:rFonts w:eastAsia="仿宋_GB2312"/>
          <w:color w:val="auto"/>
          <w:sz w:val="32"/>
          <w:szCs w:val="32"/>
        </w:rPr>
        <w:t xml:space="preserve"> %；公共安全支出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</w:rPr>
        <w:t>万元，占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</w:rPr>
        <w:t xml:space="preserve"> %。具体安排情况如下：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60"/>
        <w:jc w:val="left"/>
        <w:rPr>
          <w:color w:val="auto"/>
        </w:rPr>
      </w:pP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（一）基本支出：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本部门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基本支出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预算数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171.73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万元，是指为保障单位机构正常运转、完成日常工作任务而发生的各项支出，包括用于基本工资、津贴补贴等人员经费以及办公费、印刷费、水电费、办公设备购置等公用经费。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60"/>
        <w:jc w:val="left"/>
        <w:rPr>
          <w:color w:val="auto"/>
        </w:rPr>
      </w:pP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（二）项目支出：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本部门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项目支出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预算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32.5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主要是部门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为完成特定行政工作任务或事业发展目标而发生的支出，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包括有关事业发展专项、专项业务费、基本建设支出等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。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其中：退役军人优抚安置专项支出20万元，主要用于自主择业军转干部管理服务工作方面；企业军转干部管理专项支出12.5万元，主要用于企业军转干部困难救助金方面。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60"/>
        <w:jc w:val="left"/>
        <w:rPr>
          <w:rFonts w:hint="eastAsia" w:ascii="黑体" w:hAnsi="宋体" w:eastAsia="黑体" w:cs="黑体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黑体" w:hAnsi="宋体" w:eastAsia="黑体" w:cs="黑体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五、政府性基金预算支出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6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2022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年本部门无政府性基金安排的支出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right="0" w:firstLine="640" w:firstLineChars="200"/>
        <w:jc w:val="left"/>
        <w:rPr>
          <w:color w:val="auto"/>
        </w:rPr>
      </w:pPr>
      <w:r>
        <w:rPr>
          <w:rFonts w:hint="eastAsia" w:ascii="黑体" w:hAnsi="宋体" w:eastAsia="黑体" w:cs="黑体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六、其他重要事项的情况说明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60"/>
        <w:jc w:val="left"/>
        <w:rPr>
          <w:color w:val="auto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1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、机关运行经费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exact"/>
        <w:ind w:left="0" w:right="0" w:firstLine="660"/>
        <w:jc w:val="left"/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年本部门机关本级、</w:t>
      </w:r>
      <w:r>
        <w:rPr>
          <w:rFonts w:eastAsia="仿宋_GB2312"/>
          <w:kern w:val="0"/>
          <w:sz w:val="32"/>
          <w:szCs w:val="32"/>
        </w:rPr>
        <w:t>退役军人服务中心、军休所、烈士纪念设施管理所、光荣院</w:t>
      </w:r>
      <w:r>
        <w:rPr>
          <w:rFonts w:hint="eastAsia" w:ascii="仿宋_GB2312" w:eastAsia="仿宋_GB2312" w:cs="仿宋_GB2312"/>
          <w:sz w:val="32"/>
          <w:szCs w:val="32"/>
          <w:u w:val="single"/>
        </w:rPr>
        <w:t>5</w:t>
      </w:r>
      <w:r>
        <w:rPr>
          <w:rFonts w:ascii="仿宋_GB2312" w:eastAsia="仿宋_GB2312" w:cs="仿宋_GB2312"/>
          <w:sz w:val="32"/>
          <w:szCs w:val="32"/>
        </w:rPr>
        <w:t>家行政事业单位的机关运行经费</w:t>
      </w:r>
      <w:r>
        <w:rPr>
          <w:rFonts w:hint="eastAsia" w:eastAsia="仿宋_GB2312"/>
          <w:sz w:val="32"/>
          <w:szCs w:val="32"/>
          <w:u w:val="single"/>
          <w:lang w:val="en-US" w:eastAsia="zh-CN"/>
        </w:rPr>
        <w:t>19.4</w:t>
      </w:r>
      <w:r>
        <w:rPr>
          <w:rFonts w:ascii="仿宋_GB2312" w:eastAsia="仿宋_GB2312" w:cs="仿宋_GB2312"/>
          <w:sz w:val="32"/>
          <w:szCs w:val="32"/>
        </w:rPr>
        <w:t>万元，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比上年预算增加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5.2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万元，上升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36.32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%，主要是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人员较上年度增加，相关配套公用经费增加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exact"/>
        <w:ind w:left="0" w:right="0" w:firstLine="660"/>
        <w:jc w:val="left"/>
        <w:rPr>
          <w:color w:val="auto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、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“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三公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”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经费预算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60"/>
        <w:jc w:val="left"/>
        <w:rPr>
          <w:color w:val="auto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本部门机关本级、</w:t>
      </w:r>
      <w:r>
        <w:rPr>
          <w:rFonts w:hint="eastAsia" w:ascii="仿宋_GB2312" w:eastAsia="仿宋_GB2312" w:cs="仿宋_GB2312"/>
          <w:sz w:val="32"/>
          <w:szCs w:val="32"/>
        </w:rPr>
        <w:t>、</w:t>
      </w:r>
      <w:r>
        <w:rPr>
          <w:rFonts w:eastAsia="仿宋_GB2312"/>
          <w:kern w:val="0"/>
          <w:sz w:val="32"/>
          <w:szCs w:val="32"/>
        </w:rPr>
        <w:t>退役军人服务中心、军休所、烈士纪念设施管理所、光荣院</w:t>
      </w:r>
      <w:r>
        <w:rPr>
          <w:rFonts w:hint="eastAsia" w:ascii="仿宋_GB2312" w:eastAsia="仿宋_GB2312" w:cs="仿宋_GB2312"/>
          <w:sz w:val="32"/>
          <w:szCs w:val="32"/>
        </w:rPr>
        <w:t>5</w:t>
      </w:r>
      <w:r>
        <w:rPr>
          <w:rFonts w:ascii="仿宋_GB2312" w:eastAsia="仿宋_GB2312" w:cs="仿宋_GB2312"/>
          <w:sz w:val="32"/>
          <w:szCs w:val="32"/>
        </w:rPr>
        <w:t>家</w:t>
      </w:r>
      <w:r>
        <w:rPr>
          <w:rFonts w:hint="eastAsia" w:ascii="仿宋_GB2312" w:eastAsia="仿宋_GB2312" w:cs="仿宋_GB2312"/>
          <w:sz w:val="32"/>
          <w:szCs w:val="32"/>
        </w:rPr>
        <w:t>行政事业单位</w:t>
      </w:r>
      <w:r>
        <w:rPr>
          <w:rFonts w:eastAsia="仿宋_GB2312"/>
          <w:sz w:val="32"/>
          <w:szCs w:val="32"/>
        </w:rPr>
        <w:t>“</w:t>
      </w:r>
      <w:r>
        <w:rPr>
          <w:rFonts w:ascii="仿宋_GB2312" w:eastAsia="仿宋_GB2312" w:cs="仿宋_GB2312"/>
          <w:sz w:val="32"/>
          <w:szCs w:val="32"/>
        </w:rPr>
        <w:t>三公</w:t>
      </w:r>
      <w:r>
        <w:rPr>
          <w:rFonts w:eastAsia="仿宋_GB2312"/>
          <w:sz w:val="32"/>
          <w:szCs w:val="32"/>
        </w:rPr>
        <w:t>”</w:t>
      </w:r>
      <w:r>
        <w:rPr>
          <w:rFonts w:ascii="仿宋_GB2312" w:eastAsia="仿宋_GB2312" w:cs="仿宋_GB2312"/>
          <w:sz w:val="32"/>
          <w:szCs w:val="32"/>
        </w:rPr>
        <w:t>经费预算数为</w:t>
      </w:r>
      <w:r>
        <w:rPr>
          <w:rFonts w:hint="eastAsia" w:ascii="仿宋_GB2312" w:eastAsia="仿宋_GB2312" w:cs="仿宋_GB2312"/>
          <w:sz w:val="32"/>
          <w:szCs w:val="32"/>
          <w:u w:val="single"/>
          <w:lang w:val="en-US" w:eastAsia="zh-CN"/>
        </w:rPr>
        <w:t>5.5</w:t>
      </w:r>
      <w:r>
        <w:rPr>
          <w:rFonts w:ascii="仿宋_GB2312" w:eastAsia="仿宋_GB2312" w:cs="仿宋_GB2312"/>
          <w:sz w:val="32"/>
          <w:szCs w:val="32"/>
        </w:rPr>
        <w:t>万元</w:t>
      </w:r>
      <w:r>
        <w:rPr>
          <w:rFonts w:hint="eastAsia" w:ascii="仿宋_GB2312" w:eastAsia="仿宋_GB2312" w:cs="仿宋_GB2312"/>
          <w:sz w:val="32"/>
          <w:szCs w:val="32"/>
          <w:lang w:eastAsia="zh-CN"/>
        </w:rPr>
        <w:t>，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其中，公务接待费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5.5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万元，公务用车购置及运行费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0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万元（其中，公务用车购置费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0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万元，公务用车运行费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0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万元），因公出国（境）费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0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万元。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“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三公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”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经费预算较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21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持平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，主要是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厉行节约，规范管理，进一步压缩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“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三公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”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经费。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600" w:lineRule="exact"/>
        <w:ind w:left="660" w:leftChars="0" w:right="0" w:rightChars="0"/>
        <w:jc w:val="left"/>
        <w:textAlignment w:val="auto"/>
        <w:outlineLvl w:val="9"/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一般性支出情况：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600" w:lineRule="exact"/>
        <w:ind w:right="0" w:rightChars="0" w:firstLine="640" w:firstLineChars="200"/>
        <w:jc w:val="left"/>
        <w:textAlignment w:val="auto"/>
        <w:outlineLvl w:val="9"/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202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年本部门会议费预算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0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，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未计划举办节庆、晚会、论坛、赛事活动。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600" w:lineRule="exact"/>
        <w:ind w:left="660" w:leftChars="0" w:right="0" w:rightChars="0"/>
        <w:jc w:val="left"/>
        <w:textAlignment w:val="auto"/>
        <w:outlineLvl w:val="9"/>
        <w:rPr>
          <w:color w:val="auto"/>
        </w:rPr>
      </w:pP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4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、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政府采购情况</w:t>
      </w:r>
    </w:p>
    <w:p>
      <w:pPr>
        <w:widowControl/>
        <w:spacing w:line="600" w:lineRule="exact"/>
        <w:ind w:firstLine="660"/>
        <w:rPr>
          <w:rFonts w:eastAsia="仿宋_GB2312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本部门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政府采购预算总额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2.66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万元，其中，</w:t>
      </w:r>
      <w:r>
        <w:rPr>
          <w:rFonts w:eastAsia="仿宋_GB2312"/>
          <w:color w:val="auto"/>
          <w:sz w:val="32"/>
          <w:szCs w:val="32"/>
        </w:rPr>
        <w:t>货物类采购预算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2.66</w:t>
      </w:r>
      <w:r>
        <w:rPr>
          <w:rFonts w:eastAsia="仿宋_GB2312"/>
          <w:color w:val="auto"/>
          <w:sz w:val="32"/>
          <w:szCs w:val="32"/>
        </w:rPr>
        <w:t>万元；工程类采购预算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</w:rPr>
        <w:t>万元；服务类采购预算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</w:rPr>
        <w:t>万元。</w:t>
      </w:r>
    </w:p>
    <w:p>
      <w:pPr>
        <w:widowControl/>
        <w:numPr>
          <w:ilvl w:val="0"/>
          <w:numId w:val="0"/>
        </w:numPr>
        <w:spacing w:line="600" w:lineRule="exact"/>
        <w:ind w:left="660" w:leftChars="0"/>
        <w:jc w:val="left"/>
        <w:rPr>
          <w:rFonts w:eastAsia="楷体_GB2312"/>
          <w:b/>
          <w:color w:val="auto"/>
          <w:sz w:val="32"/>
          <w:szCs w:val="32"/>
        </w:rPr>
      </w:pP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5、国有资产占用使用及新增资产配置情况</w:t>
      </w:r>
    </w:p>
    <w:p>
      <w:pPr>
        <w:widowControl/>
        <w:numPr>
          <w:ilvl w:val="0"/>
          <w:numId w:val="0"/>
        </w:numPr>
        <w:spacing w:line="600" w:lineRule="exact"/>
        <w:ind w:firstLine="640" w:firstLineChars="20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eastAsia="仿宋_GB2312"/>
          <w:color w:val="auto"/>
          <w:sz w:val="32"/>
          <w:szCs w:val="32"/>
        </w:rPr>
        <w:t>截至202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1</w:t>
      </w:r>
      <w:r>
        <w:rPr>
          <w:rFonts w:eastAsia="仿宋_GB2312"/>
          <w:color w:val="auto"/>
          <w:sz w:val="32"/>
          <w:szCs w:val="32"/>
        </w:rPr>
        <w:t>年12月底，本部门</w:t>
      </w:r>
      <w:r>
        <w:rPr>
          <w:rFonts w:eastAsia="仿宋_GB2312"/>
          <w:bCs/>
          <w:color w:val="auto"/>
          <w:kern w:val="0"/>
          <w:sz w:val="32"/>
          <w:szCs w:val="32"/>
        </w:rPr>
        <w:t>共有公务用车</w:t>
      </w:r>
      <w:r>
        <w:rPr>
          <w:rFonts w:hint="eastAsia" w:eastAsia="仿宋_GB2312"/>
          <w:bCs/>
          <w:color w:val="auto"/>
          <w:kern w:val="0"/>
          <w:sz w:val="32"/>
          <w:szCs w:val="32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</w:rPr>
        <w:t>辆，其中，机要通信用车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</w:rPr>
        <w:t>辆，应急保障用车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</w:rPr>
        <w:t>辆，执法执勤用车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</w:rPr>
        <w:t>辆，特种专业技术用车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</w:rPr>
        <w:t>辆，其他按照规定配备的公务用车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</w:rPr>
        <w:t>辆；单位价值50万元以上通用设备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</w:rPr>
        <w:t>台，单位价值100万元以上专用设备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</w:rPr>
        <w:t>台。</w:t>
      </w:r>
      <w:r>
        <w:rPr>
          <w:rFonts w:hint="eastAsia" w:eastAsia="仿宋_GB2312"/>
          <w:bCs/>
          <w:color w:val="auto"/>
          <w:kern w:val="0"/>
          <w:sz w:val="32"/>
          <w:szCs w:val="32"/>
          <w:lang w:val="en-US" w:eastAsia="zh-CN"/>
        </w:rPr>
        <w:t>2022</w:t>
      </w:r>
      <w:r>
        <w:rPr>
          <w:rFonts w:eastAsia="仿宋_GB2312"/>
          <w:bCs/>
          <w:color w:val="auto"/>
          <w:kern w:val="0"/>
          <w:sz w:val="32"/>
          <w:szCs w:val="32"/>
        </w:rPr>
        <w:t>年拟新增配置公务用车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</w:rPr>
        <w:t>辆，其中，机要通信用车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</w:rPr>
        <w:t>辆，应急保障用车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</w:rPr>
        <w:t>辆，执法执勤用车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</w:rPr>
        <w:t>辆，特种专业技术用车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</w:rPr>
        <w:t>辆，其他按照规定配备的公务用车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</w:rPr>
        <w:t>辆；新增配备单位价值50万元以上通用设备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</w:rPr>
        <w:t>台，单位价值100万元以上专用设备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</w:rPr>
        <w:t>台。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660" w:leftChars="0" w:right="0" w:rightChars="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6、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预算绩效目标说明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 w:firstLine="640" w:firstLineChars="20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本部门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所有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支出实行绩效目标管理，纳入20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年部门整体支出绩效目标的金额为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204.23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万元，其中，基本支出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 xml:space="preserve">  171.73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万元，项目支出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32.5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，具体绩效目标详见报表。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660" w:leftChars="0" w:right="0" w:rightChars="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7、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批复时间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 w:firstLine="640" w:firstLineChars="20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年度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本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部门预算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经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新田县第十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八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届人民代表大会第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一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次会议批复时间为20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21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10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月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日，财政部门批复时间为20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21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11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月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08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日。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exact"/>
        <w:ind w:left="0" w:right="0" w:firstLine="660"/>
        <w:jc w:val="left"/>
        <w:rPr>
          <w:color w:val="auto"/>
        </w:rPr>
      </w:pPr>
      <w:r>
        <w:rPr>
          <w:rFonts w:hint="eastAsia" w:ascii="黑体" w:hAnsi="宋体" w:eastAsia="黑体" w:cs="黑体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七、名词解释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 w:firstLine="640" w:firstLineChars="20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1、机关运行经费：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 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 w:firstLine="640" w:firstLineChars="20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2、“三公”经费：纳入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省（市/县）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住宿费、伙食费、培训费、公杂费等等支出。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 w:firstLine="640" w:firstLineChars="200"/>
        <w:jc w:val="left"/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/>
        <w:jc w:val="center"/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黑体" w:hAnsi="宋体" w:eastAsia="黑体" w:cs="黑体"/>
          <w:b/>
          <w:color w:val="auto"/>
          <w:kern w:val="0"/>
          <w:sz w:val="36"/>
          <w:szCs w:val="36"/>
          <w:shd w:val="clear" w:color="auto" w:fill="F6F6F6"/>
          <w:lang w:val="en-US" w:eastAsia="zh-CN" w:bidi="ar"/>
        </w:rPr>
        <w:t>第二部分 2022年部门预算公开表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/>
        <w:jc w:val="center"/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（见附件）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D428231"/>
    <w:multiLevelType w:val="singleLevel"/>
    <w:tmpl w:val="2D428231"/>
    <w:lvl w:ilvl="0" w:tentative="0">
      <w:start w:val="3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I1ZjhmNzc5OTI0OTBhNDQ2ZmUxNzQzOGMwZTViODgifQ=="/>
  </w:docVars>
  <w:rsids>
    <w:rsidRoot w:val="00000000"/>
    <w:rsid w:val="00EB7210"/>
    <w:rsid w:val="026B348A"/>
    <w:rsid w:val="04FF212C"/>
    <w:rsid w:val="0575419C"/>
    <w:rsid w:val="075313C3"/>
    <w:rsid w:val="0A564AAB"/>
    <w:rsid w:val="0AEC3CD0"/>
    <w:rsid w:val="0B3202FF"/>
    <w:rsid w:val="0C5F4155"/>
    <w:rsid w:val="0D122A8A"/>
    <w:rsid w:val="0E5A2261"/>
    <w:rsid w:val="0EFE2AC3"/>
    <w:rsid w:val="101D5507"/>
    <w:rsid w:val="12F87997"/>
    <w:rsid w:val="138B7C90"/>
    <w:rsid w:val="13F34767"/>
    <w:rsid w:val="15A25BC9"/>
    <w:rsid w:val="16487642"/>
    <w:rsid w:val="184423B4"/>
    <w:rsid w:val="1A4713E9"/>
    <w:rsid w:val="1AE16104"/>
    <w:rsid w:val="1C4718CD"/>
    <w:rsid w:val="1F122A8F"/>
    <w:rsid w:val="1F505406"/>
    <w:rsid w:val="2177331E"/>
    <w:rsid w:val="21C978F2"/>
    <w:rsid w:val="284A5A24"/>
    <w:rsid w:val="29310182"/>
    <w:rsid w:val="2A1C6CCC"/>
    <w:rsid w:val="2D8F19F0"/>
    <w:rsid w:val="2E312AA7"/>
    <w:rsid w:val="30705B08"/>
    <w:rsid w:val="31E16592"/>
    <w:rsid w:val="33E83C08"/>
    <w:rsid w:val="3598340C"/>
    <w:rsid w:val="35F9034E"/>
    <w:rsid w:val="39FF7EFD"/>
    <w:rsid w:val="3C292526"/>
    <w:rsid w:val="3E410AE4"/>
    <w:rsid w:val="41366754"/>
    <w:rsid w:val="4167540A"/>
    <w:rsid w:val="43016A94"/>
    <w:rsid w:val="46E841F3"/>
    <w:rsid w:val="48174664"/>
    <w:rsid w:val="49227764"/>
    <w:rsid w:val="4B1F21AD"/>
    <w:rsid w:val="4DB82445"/>
    <w:rsid w:val="50F6750C"/>
    <w:rsid w:val="52326F0E"/>
    <w:rsid w:val="543D0DF6"/>
    <w:rsid w:val="55386724"/>
    <w:rsid w:val="55E95892"/>
    <w:rsid w:val="56DF6C95"/>
    <w:rsid w:val="579F7E5F"/>
    <w:rsid w:val="59592D2E"/>
    <w:rsid w:val="5F117C07"/>
    <w:rsid w:val="60DA7950"/>
    <w:rsid w:val="6189617B"/>
    <w:rsid w:val="620036C9"/>
    <w:rsid w:val="647D0321"/>
    <w:rsid w:val="64D4595F"/>
    <w:rsid w:val="66846F11"/>
    <w:rsid w:val="6692787F"/>
    <w:rsid w:val="67FA392E"/>
    <w:rsid w:val="6CB26586"/>
    <w:rsid w:val="6D592EA5"/>
    <w:rsid w:val="703C4095"/>
    <w:rsid w:val="73577E87"/>
    <w:rsid w:val="7456013E"/>
    <w:rsid w:val="77813724"/>
    <w:rsid w:val="780B1240"/>
    <w:rsid w:val="79183053"/>
    <w:rsid w:val="7A262361"/>
    <w:rsid w:val="7BBA645B"/>
    <w:rsid w:val="7F606315"/>
    <w:rsid w:val="7F6D117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0"/>
    <w:pPr>
      <w:spacing w:before="100" w:beforeAutospacing="1" w:after="100" w:afterAutospacing="1"/>
      <w:jc w:val="left"/>
    </w:pPr>
    <w:rPr>
      <w:rFonts w:hint="eastAsia" w:ascii="宋体" w:hAnsi="宋体" w:eastAsia="宋体" w:cs="宋体"/>
      <w:b/>
      <w:kern w:val="0"/>
      <w:sz w:val="24"/>
      <w:szCs w:val="24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widowControl/>
      <w:spacing w:before="100" w:beforeLines="0" w:beforeAutospacing="1" w:after="100" w:afterLines="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3591</Words>
  <Characters>3827</Characters>
  <Lines>0</Lines>
  <Paragraphs>0</Paragraphs>
  <TotalTime>1</TotalTime>
  <ScaleCrop>false</ScaleCrop>
  <LinksUpToDate>false</LinksUpToDate>
  <CharactersWithSpaces>3909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cp:lastPrinted>2019-09-03T01:21:00Z</cp:lastPrinted>
  <dcterms:modified xsi:type="dcterms:W3CDTF">2023-08-08T01:23:47Z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8FD970632FF446B5B425256A2024A75F</vt:lpwstr>
  </property>
</Properties>
</file>