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新田县高山中学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</w:rPr>
        <w:t>实施初中义务教育、促进基础教育发展。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（2）初中学历教育（相关社会服务）。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。1个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/>
          <w:kern w:val="0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新田县高山中学</w:t>
      </w:r>
      <w:r>
        <w:rPr>
          <w:rFonts w:ascii="仿宋_GB2312" w:hAnsi="仿宋_GB2312" w:eastAsia="仿宋_GB2312"/>
          <w:sz w:val="32"/>
          <w:szCs w:val="32"/>
        </w:rPr>
        <w:t>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430.55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382.55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48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79.67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ascii="仿宋_GB2312" w:hAnsi="仿宋_GB2312" w:eastAsia="仿宋_GB2312"/>
          <w:b/>
          <w:bCs/>
          <w:sz w:val="32"/>
          <w:szCs w:val="32"/>
        </w:rPr>
        <w:t>教师数和学生数都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减少</w:t>
      </w:r>
      <w:r>
        <w:rPr>
          <w:rFonts w:ascii="仿宋_GB2312" w:hAnsi="仿宋_GB2312" w:eastAsia="仿宋_GB2312"/>
          <w:b/>
          <w:bCs/>
          <w:sz w:val="32"/>
          <w:szCs w:val="32"/>
        </w:rPr>
        <w:t>了</w:t>
      </w:r>
      <w:r>
        <w:rPr>
          <w:rFonts w:hint="eastAsia" w:ascii="宋体" w:hAnsi="宋体"/>
          <w:b/>
          <w:bCs/>
          <w:sz w:val="32"/>
          <w:szCs w:val="32"/>
        </w:rPr>
        <w:t>，</w:t>
      </w:r>
      <w:r>
        <w:rPr>
          <w:rFonts w:ascii="仿宋_GB2312" w:hAnsi="仿宋_GB2312" w:eastAsia="仿宋_GB2312"/>
          <w:b/>
          <w:bCs/>
          <w:sz w:val="32"/>
          <w:szCs w:val="32"/>
        </w:rPr>
        <w:t>相应的人员经费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仿宋_GB2312" w:hAnsi="仿宋_GB2312" w:eastAsia="仿宋_GB2312"/>
          <w:b/>
          <w:bCs/>
          <w:sz w:val="32"/>
          <w:szCs w:val="32"/>
        </w:rPr>
        <w:t>公用经费都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减少</w:t>
      </w:r>
      <w:r>
        <w:rPr>
          <w:rFonts w:ascii="仿宋_GB2312" w:hAnsi="仿宋_GB2312" w:eastAsia="仿宋_GB2312"/>
          <w:b/>
          <w:bCs/>
          <w:sz w:val="32"/>
          <w:szCs w:val="32"/>
        </w:rPr>
        <w:t>了</w:t>
      </w:r>
      <w:r>
        <w:rPr>
          <w:rFonts w:hint="eastAsia" w:ascii="宋体" w:hAnsi="宋体"/>
          <w:b/>
          <w:bCs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hint="eastAsia" w:ascii="宋体" w:hAnsi="宋体"/>
          <w:b/>
          <w:bCs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430.55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333.</w:t>
      </w:r>
      <w:r>
        <w:rPr>
          <w:rFonts w:hint="eastAsia" w:eastAsia="仿宋_GB2312"/>
          <w:sz w:val="32"/>
          <w:szCs w:val="32"/>
          <w:u w:val="single"/>
        </w:rPr>
        <w:t>2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万元，社会保障和就业支出</w:t>
      </w:r>
      <w:r>
        <w:rPr>
          <w:rFonts w:hint="eastAsia" w:eastAsia="仿宋_GB2312"/>
          <w:sz w:val="32"/>
          <w:szCs w:val="32"/>
          <w:u w:val="single"/>
        </w:rPr>
        <w:t>43.08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u w:val="single"/>
        </w:rPr>
        <w:t>22.81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</w:rPr>
        <w:t>住房保险支出</w:t>
      </w:r>
      <w:r>
        <w:rPr>
          <w:rFonts w:hint="eastAsia" w:ascii="宋体" w:hAnsi="宋体" w:cs="宋体"/>
          <w:sz w:val="32"/>
          <w:szCs w:val="32"/>
          <w:u w:val="single"/>
        </w:rPr>
        <w:t>31.46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79.67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ascii="仿宋_GB2312" w:hAnsi="仿宋_GB2312" w:eastAsia="仿宋_GB2312"/>
          <w:b/>
          <w:bCs/>
          <w:sz w:val="32"/>
          <w:szCs w:val="32"/>
        </w:rPr>
        <w:t>教师数和学生数都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减少</w:t>
      </w:r>
      <w:r>
        <w:rPr>
          <w:rFonts w:ascii="仿宋_GB2312" w:hAnsi="仿宋_GB2312" w:eastAsia="仿宋_GB2312"/>
          <w:b/>
          <w:bCs/>
          <w:sz w:val="32"/>
          <w:szCs w:val="32"/>
        </w:rPr>
        <w:t>了</w:t>
      </w:r>
      <w:r>
        <w:rPr>
          <w:rFonts w:hint="eastAsia" w:ascii="宋体" w:hAnsi="宋体"/>
          <w:b/>
          <w:bCs/>
          <w:sz w:val="32"/>
          <w:szCs w:val="32"/>
        </w:rPr>
        <w:t>，</w:t>
      </w:r>
      <w:r>
        <w:rPr>
          <w:rFonts w:ascii="仿宋_GB2312" w:hAnsi="仿宋_GB2312" w:eastAsia="仿宋_GB2312"/>
          <w:b/>
          <w:bCs/>
          <w:sz w:val="32"/>
          <w:szCs w:val="32"/>
        </w:rPr>
        <w:t>相应的人员经费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仿宋_GB2312" w:hAnsi="仿宋_GB2312" w:eastAsia="仿宋_GB2312"/>
          <w:b/>
          <w:bCs/>
          <w:sz w:val="32"/>
          <w:szCs w:val="32"/>
        </w:rPr>
        <w:t>公用经费都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减少</w:t>
      </w:r>
      <w:r>
        <w:rPr>
          <w:rFonts w:ascii="仿宋_GB2312" w:hAnsi="仿宋_GB2312" w:eastAsia="仿宋_GB2312"/>
          <w:b/>
          <w:bCs/>
          <w:sz w:val="32"/>
          <w:szCs w:val="32"/>
        </w:rPr>
        <w:t>了</w:t>
      </w:r>
      <w:r>
        <w:rPr>
          <w:rFonts w:hint="eastAsia" w:ascii="宋体" w:hAnsi="宋体"/>
          <w:b/>
          <w:bCs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430.55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eastAsia="仿宋_GB2312"/>
          <w:sz w:val="32"/>
          <w:szCs w:val="32"/>
        </w:rPr>
        <w:t>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333.</w:t>
      </w:r>
      <w:r>
        <w:rPr>
          <w:rFonts w:hint="eastAsia" w:eastAsia="仿宋_GB2312"/>
          <w:sz w:val="32"/>
          <w:szCs w:val="32"/>
          <w:u w:val="single"/>
        </w:rPr>
        <w:t>2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77.39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科学技术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</w:rPr>
        <w:t>43.08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</w:rPr>
        <w:t>22.81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5.3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住房保险支出</w:t>
      </w:r>
      <w:r>
        <w:rPr>
          <w:rFonts w:hint="eastAsia" w:ascii="宋体" w:hAnsi="宋体" w:cs="宋体"/>
          <w:sz w:val="32"/>
          <w:szCs w:val="32"/>
          <w:u w:val="single"/>
        </w:rPr>
        <w:t>31.46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7.31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430.55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万元，比上年预算增加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52.28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1.36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办公费、印刷费、维修费的略有增加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1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430.55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430.55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36F0357"/>
    <w:rsid w:val="184423B4"/>
    <w:rsid w:val="1A4713E9"/>
    <w:rsid w:val="1AAF20D7"/>
    <w:rsid w:val="1B561188"/>
    <w:rsid w:val="1E5A0B01"/>
    <w:rsid w:val="1F122A8F"/>
    <w:rsid w:val="277630EE"/>
    <w:rsid w:val="284A5A24"/>
    <w:rsid w:val="29310182"/>
    <w:rsid w:val="2A1C6CCC"/>
    <w:rsid w:val="41366754"/>
    <w:rsid w:val="4167540A"/>
    <w:rsid w:val="52326F0E"/>
    <w:rsid w:val="543D0DF6"/>
    <w:rsid w:val="55386724"/>
    <w:rsid w:val="60733C5B"/>
    <w:rsid w:val="60DA7950"/>
    <w:rsid w:val="647D0321"/>
    <w:rsid w:val="703C4095"/>
    <w:rsid w:val="79183053"/>
    <w:rsid w:val="79CA58C8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2565</Words>
  <Characters>2773</Characters>
  <Lines>0</Lines>
  <Paragraphs>0</Paragraphs>
  <TotalTime>0</TotalTime>
  <ScaleCrop>false</ScaleCrop>
  <LinksUpToDate>false</LinksUpToDate>
  <CharactersWithSpaces>2936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F9FB57CDD2014F60B6DA5B955BB6CBF5</vt:lpwstr>
  </property>
</Properties>
</file>