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sz w:val="31"/>
          <w:szCs w:val="31"/>
        </w:rPr>
      </w:pPr>
      <w:r>
        <w:rPr>
          <w:spacing w:val="5"/>
          <w:sz w:val="31"/>
          <w:szCs w:val="31"/>
        </w:rPr>
        <w:t>附件</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z w:val="39"/>
          <w:szCs w:val="39"/>
        </w:rPr>
      </w:pPr>
      <w:r>
        <w:rPr>
          <w:rFonts w:hint="eastAsia" w:ascii="方正小标宋简体" w:hAnsi="方正小标宋简体" w:eastAsia="方正小标宋简体" w:cs="方正小标宋简体"/>
          <w:b w:val="0"/>
          <w:bCs w:val="0"/>
          <w:spacing w:val="14"/>
          <w:position w:val="10"/>
          <w:sz w:val="39"/>
          <w:szCs w:val="39"/>
        </w:rPr>
        <w:t>双牌县卫生健康局2024年度职业卫生</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center"/>
        <w:textAlignment w:val="baseline"/>
        <w:rPr>
          <w:rFonts w:hint="eastAsia" w:ascii="方正小标宋简体" w:hAnsi="方正小标宋简体" w:eastAsia="方正小标宋简体" w:cs="方正小标宋简体"/>
          <w:b w:val="0"/>
          <w:bCs w:val="0"/>
          <w:sz w:val="39"/>
          <w:szCs w:val="39"/>
        </w:rPr>
      </w:pPr>
      <w:r>
        <w:rPr>
          <w:rFonts w:hint="eastAsia" w:ascii="方正小标宋简体" w:hAnsi="方正小标宋简体" w:eastAsia="方正小标宋简体" w:cs="方正小标宋简体"/>
          <w:b w:val="0"/>
          <w:bCs w:val="0"/>
          <w:spacing w:val="1"/>
          <w:sz w:val="39"/>
          <w:szCs w:val="39"/>
        </w:rPr>
        <w:t>行政执法检查计划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ascii="Arial"/>
          <w:sz w:val="21"/>
        </w:r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outlineLvl w:val="0"/>
        <w:rPr>
          <w:sz w:val="31"/>
          <w:szCs w:val="31"/>
        </w:rPr>
      </w:pPr>
      <w:r>
        <w:rPr>
          <w:b/>
          <w:bCs/>
          <w:spacing w:val="-4"/>
          <w:sz w:val="31"/>
          <w:szCs w:val="31"/>
        </w:rPr>
        <w:t>一</w:t>
      </w:r>
      <w:r>
        <w:rPr>
          <w:spacing w:val="-4"/>
          <w:sz w:val="31"/>
          <w:szCs w:val="31"/>
        </w:rPr>
        <w:t xml:space="preserve"> </w:t>
      </w:r>
      <w:r>
        <w:rPr>
          <w:b/>
          <w:bCs/>
          <w:spacing w:val="-4"/>
          <w:sz w:val="31"/>
          <w:szCs w:val="31"/>
        </w:rPr>
        <w:t>、职业卫生行政执法检查计划</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ascii="楷体" w:hAnsi="楷体" w:eastAsia="楷体" w:cs="楷体"/>
          <w:sz w:val="31"/>
          <w:szCs w:val="31"/>
        </w:rPr>
      </w:pPr>
      <w:r>
        <w:rPr>
          <w:rFonts w:ascii="楷体" w:hAnsi="楷体" w:eastAsia="楷体" w:cs="楷体"/>
          <w:b/>
          <w:bCs/>
          <w:spacing w:val="19"/>
          <w:sz w:val="31"/>
          <w:szCs w:val="31"/>
        </w:rPr>
        <w:t>(</w:t>
      </w:r>
      <w:r>
        <w:rPr>
          <w:rFonts w:ascii="楷体" w:hAnsi="楷体" w:eastAsia="楷体" w:cs="楷体"/>
          <w:spacing w:val="-87"/>
          <w:sz w:val="31"/>
          <w:szCs w:val="31"/>
        </w:rPr>
        <w:t xml:space="preserve"> </w:t>
      </w:r>
      <w:r>
        <w:rPr>
          <w:rFonts w:ascii="楷体" w:hAnsi="楷体" w:eastAsia="楷体" w:cs="楷体"/>
          <w:b/>
          <w:bCs/>
          <w:spacing w:val="19"/>
          <w:sz w:val="31"/>
          <w:szCs w:val="31"/>
        </w:rPr>
        <w:t>一)检查对象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79"/>
        <w:jc w:val="both"/>
        <w:textAlignment w:val="baseline"/>
        <w:rPr>
          <w:rFonts w:hint="eastAsia" w:ascii="宋体" w:hAnsi="宋体" w:eastAsia="仿宋" w:cs="宋体"/>
          <w:sz w:val="39"/>
          <w:szCs w:val="39"/>
          <w:lang w:eastAsia="zh-CN"/>
        </w:rPr>
        <w:sectPr>
          <w:footerReference r:id="rId5" w:type="default"/>
          <w:pgSz w:w="11900" w:h="16840"/>
          <w:pgMar w:top="1431" w:right="1415" w:bottom="400" w:left="1670" w:header="0" w:footer="0" w:gutter="0"/>
          <w:cols w:space="720" w:num="1"/>
        </w:sectPr>
      </w:pPr>
      <w:r>
        <w:rPr>
          <w:spacing w:val="16"/>
          <w:sz w:val="31"/>
          <w:szCs w:val="31"/>
        </w:rPr>
        <w:t>1.湖南南岭民爆精细化工有限公司、湖南省南岭民用爆</w:t>
      </w:r>
      <w:r>
        <w:rPr>
          <w:spacing w:val="18"/>
          <w:sz w:val="31"/>
          <w:szCs w:val="31"/>
        </w:rPr>
        <w:t xml:space="preserve"> </w:t>
      </w:r>
      <w:r>
        <w:rPr>
          <w:spacing w:val="15"/>
          <w:sz w:val="31"/>
          <w:szCs w:val="31"/>
        </w:rPr>
        <w:t>破器材股份有限公司双牌分公司、湖南省泷兴建材有限责任</w:t>
      </w:r>
      <w:r>
        <w:rPr>
          <w:spacing w:val="17"/>
          <w:sz w:val="31"/>
          <w:szCs w:val="31"/>
        </w:rPr>
        <w:t>公司、湖南省宏宸混凝土有限公司、湖南省三墨新材料有限公司、双牌县聚财木业科技有限公司、双牌县鸿达冶炼有限</w:t>
      </w:r>
      <w:r>
        <w:rPr>
          <w:spacing w:val="8"/>
          <w:sz w:val="31"/>
          <w:szCs w:val="31"/>
        </w:rPr>
        <w:t xml:space="preserve"> </w:t>
      </w:r>
      <w:r>
        <w:rPr>
          <w:spacing w:val="17"/>
          <w:sz w:val="31"/>
          <w:szCs w:val="31"/>
        </w:rPr>
        <w:t>责任公司、永州华茂生物科技有限责任公司、永州瑞祥建材</w:t>
      </w:r>
      <w:r>
        <w:rPr>
          <w:spacing w:val="7"/>
          <w:sz w:val="31"/>
          <w:szCs w:val="31"/>
        </w:rPr>
        <w:t xml:space="preserve"> </w:t>
      </w:r>
      <w:r>
        <w:rPr>
          <w:spacing w:val="17"/>
          <w:sz w:val="31"/>
          <w:szCs w:val="31"/>
        </w:rPr>
        <w:t>有限公司、双牌县华瑞科技发展有限公司、双牌</w:t>
      </w:r>
      <w:r>
        <w:rPr>
          <w:spacing w:val="16"/>
          <w:sz w:val="31"/>
          <w:szCs w:val="31"/>
        </w:rPr>
        <w:t>县三晋竹艺</w:t>
      </w:r>
      <w:r>
        <w:rPr>
          <w:sz w:val="31"/>
          <w:szCs w:val="31"/>
        </w:rPr>
        <w:t xml:space="preserve"> </w:t>
      </w:r>
      <w:r>
        <w:rPr>
          <w:spacing w:val="17"/>
          <w:sz w:val="31"/>
          <w:szCs w:val="31"/>
        </w:rPr>
        <w:t>有限公司、永州宏伟水电综合开发有限公司、永州钱江水电</w:t>
      </w:r>
      <w:r>
        <w:rPr>
          <w:spacing w:val="9"/>
          <w:sz w:val="31"/>
          <w:szCs w:val="31"/>
        </w:rPr>
        <w:t xml:space="preserve"> </w:t>
      </w:r>
      <w:r>
        <w:rPr>
          <w:spacing w:val="17"/>
          <w:sz w:val="31"/>
          <w:szCs w:val="31"/>
        </w:rPr>
        <w:t>开发有限公司、双牌万润绿色能源开发有限公司、湖南省麦</w:t>
      </w:r>
      <w:r>
        <w:rPr>
          <w:spacing w:val="15"/>
          <w:sz w:val="31"/>
          <w:szCs w:val="31"/>
        </w:rPr>
        <w:t>克斯新能源有限公司、湖南金宝涟交通设施工程有限公司、</w:t>
      </w:r>
      <w:r>
        <w:rPr>
          <w:spacing w:val="16"/>
          <w:sz w:val="31"/>
          <w:szCs w:val="31"/>
        </w:rPr>
        <w:t>湖南省鸿鑫投资开发有限公司、永州市阳明山绿色食品有限责任公司、双牌县永茂竹艺有限公司、双牌县湘澧新能源有限公司、双牌县宏达页岩环保建材厂、双牌县金东肉联食品</w:t>
      </w:r>
      <w:r>
        <w:rPr>
          <w:spacing w:val="19"/>
          <w:sz w:val="31"/>
          <w:szCs w:val="31"/>
        </w:rPr>
        <w:t>有限公司、湖南省尚道生物科技有限公司、湖南湘能阳明山</w:t>
      </w:r>
      <w:r>
        <w:rPr>
          <w:spacing w:val="16"/>
          <w:sz w:val="31"/>
          <w:szCs w:val="31"/>
        </w:rPr>
        <w:t>水电开发有限公司(何家洞电站)、双牌县晶华电子</w:t>
      </w:r>
      <w:r>
        <w:rPr>
          <w:spacing w:val="15"/>
          <w:sz w:val="31"/>
          <w:szCs w:val="31"/>
        </w:rPr>
        <w:t>有限公司、</w:t>
      </w:r>
      <w:r>
        <w:rPr>
          <w:sz w:val="31"/>
          <w:szCs w:val="31"/>
        </w:rPr>
        <w:t xml:space="preserve"> </w:t>
      </w:r>
      <w:r>
        <w:rPr>
          <w:spacing w:val="16"/>
          <w:sz w:val="31"/>
          <w:szCs w:val="31"/>
        </w:rPr>
        <w:t>永州德普瑞生物科技股份有限公司、湖南阳明竹咏科技有限</w:t>
      </w:r>
      <w:r>
        <w:rPr>
          <w:spacing w:val="20"/>
          <w:sz w:val="31"/>
          <w:szCs w:val="31"/>
        </w:rPr>
        <w:t>公司、双牌县康洁餐具消毒中心、永州昊利新材料科技有限</w:t>
      </w:r>
      <w:r>
        <w:rPr>
          <w:spacing w:val="17"/>
          <w:sz w:val="31"/>
          <w:szCs w:val="31"/>
        </w:rPr>
        <w:t>公司</w:t>
      </w:r>
      <w:r>
        <w:rPr>
          <w:rFonts w:hint="eastAsia"/>
          <w:spacing w:val="17"/>
          <w:sz w:val="31"/>
          <w:szCs w:val="31"/>
          <w:lang w:eastAsia="zh-CN"/>
        </w:rPr>
        <w:t>、</w:t>
      </w:r>
      <w:r>
        <w:rPr>
          <w:spacing w:val="17"/>
          <w:sz w:val="31"/>
          <w:szCs w:val="31"/>
        </w:rPr>
        <w:t>中国石油天然气股份有限公司湖南销售分公司双牌县</w:t>
      </w:r>
      <w:r>
        <w:rPr>
          <w:rFonts w:hint="eastAsia"/>
          <w:spacing w:val="17"/>
          <w:sz w:val="31"/>
          <w:szCs w:val="31"/>
          <w:lang w:eastAsia="zh-CN"/>
        </w:rPr>
        <w:t>、</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spacing w:val="15"/>
          <w:sz w:val="31"/>
          <w:szCs w:val="31"/>
        </w:rPr>
      </w:pPr>
      <w:r>
        <w:rPr>
          <w:spacing w:val="14"/>
          <w:sz w:val="31"/>
          <w:szCs w:val="31"/>
        </w:rPr>
        <w:t>麻江加油站、双牌县德升鞋厂、双牌县双红加油有限公司、</w:t>
      </w:r>
      <w:r>
        <w:rPr>
          <w:spacing w:val="9"/>
          <w:sz w:val="31"/>
          <w:szCs w:val="31"/>
        </w:rPr>
        <w:t xml:space="preserve"> </w:t>
      </w:r>
      <w:r>
        <w:rPr>
          <w:spacing w:val="15"/>
          <w:sz w:val="31"/>
          <w:szCs w:val="31"/>
        </w:rPr>
        <w:t>中海油湖南销售有限公司双牌县老院子加油站、永州金蕊生</w:t>
      </w:r>
      <w:r>
        <w:rPr>
          <w:spacing w:val="16"/>
          <w:sz w:val="31"/>
          <w:szCs w:val="31"/>
        </w:rPr>
        <w:t>物科技股份有限公司、中国石化销售股份有限公司湖南永州双牌县五里牌加油站、中国石化销售股份有限公司湖南永州双牌县城南加油站、中国石化销售股份有限公司湖南永州双牌县湘林加油站、中国石化销售股份有限公司湖南永州双牌县桥东加油站、中国石化销售股份有限公司湖南永州双牌县</w:t>
      </w:r>
      <w:r>
        <w:rPr>
          <w:spacing w:val="15"/>
          <w:sz w:val="31"/>
          <w:szCs w:val="31"/>
        </w:rPr>
        <w:t>城关加油站、中国石化销售股份有限公司湖南永州双牌</w:t>
      </w:r>
      <w:r>
        <w:rPr>
          <w:spacing w:val="14"/>
          <w:sz w:val="31"/>
          <w:szCs w:val="31"/>
        </w:rPr>
        <w:t>县清</w:t>
      </w:r>
      <w:r>
        <w:rPr>
          <w:spacing w:val="15"/>
          <w:sz w:val="31"/>
          <w:szCs w:val="31"/>
        </w:rPr>
        <w:t>泉岩加油站、湖南异宇科技开发有限公司、双牌县腾强竹木</w:t>
      </w:r>
      <w:r>
        <w:rPr>
          <w:spacing w:val="17"/>
          <w:sz w:val="31"/>
          <w:szCs w:val="31"/>
        </w:rPr>
        <w:t>加工有限公司、中国石化销售股份有限公司湖南永州</w:t>
      </w:r>
      <w:r>
        <w:rPr>
          <w:spacing w:val="16"/>
          <w:sz w:val="31"/>
          <w:szCs w:val="31"/>
        </w:rPr>
        <w:t>双牌县茶林加油站、中国石油天然气股份有限公司湖南销售分公司</w:t>
      </w:r>
      <w:r>
        <w:rPr>
          <w:spacing w:val="15"/>
          <w:sz w:val="31"/>
          <w:szCs w:val="31"/>
        </w:rPr>
        <w:t>双牌紫金北路加油站、双牌县双顺木业有限公司、双牌县海特燃气有限公司、双牌县典立工艺品有限公司、永州利好科</w:t>
      </w:r>
      <w:r>
        <w:rPr>
          <w:spacing w:val="-1"/>
          <w:sz w:val="31"/>
          <w:szCs w:val="31"/>
        </w:rPr>
        <w:t>技</w:t>
      </w:r>
      <w:r>
        <w:rPr>
          <w:spacing w:val="15"/>
          <w:sz w:val="31"/>
          <w:szCs w:val="31"/>
        </w:rPr>
        <w:t>有限公司。</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2.新建、改建、扩建建设项目和技术改造、技术引进项目的用人单位。</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3.未建档的用人单位。</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rPr>
          <w:rFonts w:ascii="楷体" w:hAnsi="楷体" w:eastAsia="楷体" w:cs="楷体"/>
          <w:sz w:val="31"/>
          <w:szCs w:val="31"/>
        </w:rPr>
      </w:pPr>
      <w:r>
        <w:rPr>
          <w:rFonts w:ascii="楷体" w:hAnsi="楷体" w:eastAsia="楷体" w:cs="楷体"/>
          <w:b/>
          <w:bCs/>
          <w:spacing w:val="-4"/>
          <w:sz w:val="31"/>
          <w:szCs w:val="31"/>
        </w:rPr>
        <w:t>(二)检查内容</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4" w:firstLineChars="200"/>
        <w:jc w:val="both"/>
        <w:textAlignment w:val="baseline"/>
        <w:outlineLvl w:val="0"/>
        <w:rPr>
          <w:sz w:val="31"/>
          <w:szCs w:val="31"/>
        </w:rPr>
      </w:pPr>
      <w:r>
        <w:rPr>
          <w:b/>
          <w:bCs/>
          <w:spacing w:val="-2"/>
          <w:sz w:val="31"/>
          <w:szCs w:val="31"/>
        </w:rPr>
        <w:t>1.用人单位组织管理方面：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(1)建设项目职业病防护设施“三同时”履行情况；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(2)职业病危害因素定期检测、职业病危害现状评价报告编制以及是否与有相应资质的技术服务机构签订合同等情况；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(3)职业卫生管理机构和人员设置及履行职责情况；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sectPr>
          <w:footerReference r:id="rId6" w:type="default"/>
          <w:pgSz w:w="12090" w:h="16970"/>
          <w:pgMar w:top="1442" w:right="1534" w:bottom="1507" w:left="1813" w:header="0" w:footer="1200" w:gutter="0"/>
          <w:cols w:space="720" w:num="1"/>
        </w:sectPr>
      </w:pP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(4)职业病防治责任制、隐患排查治理等制度落实情况；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(5)职业卫生教育、培训情况；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(6)职业卫生档案和职业健康监护档案建立情况；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(7)职业病危害项目申报情况；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(8)与劳动者签订劳动合同情况；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(9)职业病危害应急预案制定、演练情况；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(10)发现职业病病人或者疑似职业病人时，是否向所在</w:t>
      </w:r>
      <w:bookmarkStart w:id="0" w:name="_GoBack"/>
      <w:bookmarkEnd w:id="0"/>
      <w:r>
        <w:rPr>
          <w:spacing w:val="15"/>
          <w:sz w:val="31"/>
          <w:szCs w:val="31"/>
        </w:rPr>
        <w:t>地卫生健康行政部门报告及安置诊治情况；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(11)依法应检查的其他情况。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4" w:firstLineChars="200"/>
        <w:jc w:val="both"/>
        <w:textAlignment w:val="baseline"/>
        <w:outlineLvl w:val="0"/>
        <w:rPr>
          <w:sz w:val="31"/>
          <w:szCs w:val="31"/>
        </w:rPr>
      </w:pPr>
      <w:r>
        <w:rPr>
          <w:b/>
          <w:bCs/>
          <w:spacing w:val="-2"/>
          <w:sz w:val="31"/>
          <w:szCs w:val="31"/>
        </w:rPr>
        <w:t>2.用人单位工作场所方面：</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(1)职业病危害因素超标岗位整改情况；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(2)职业病防护设施、应急救援设施维护、检修等情况；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rPr>
          <w:spacing w:val="15"/>
          <w:sz w:val="31"/>
          <w:szCs w:val="31"/>
        </w:rPr>
      </w:pPr>
      <w:r>
        <w:rPr>
          <w:spacing w:val="15"/>
          <w:sz w:val="31"/>
          <w:szCs w:val="31"/>
        </w:rPr>
        <w:t>(3)警示标识和中文警示标牌设置情况；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rPr>
          <w:spacing w:val="15"/>
          <w:sz w:val="31"/>
          <w:szCs w:val="31"/>
        </w:rPr>
      </w:pPr>
      <w:r>
        <w:rPr>
          <w:spacing w:val="15"/>
          <w:sz w:val="31"/>
          <w:szCs w:val="31"/>
        </w:rPr>
        <w:t>(4)劳动防护用品佩戴和使用情况；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rPr>
          <w:spacing w:val="15"/>
          <w:sz w:val="31"/>
          <w:szCs w:val="31"/>
        </w:rPr>
      </w:pPr>
      <w:r>
        <w:rPr>
          <w:spacing w:val="15"/>
          <w:sz w:val="31"/>
          <w:szCs w:val="31"/>
        </w:rPr>
        <w:t>(5)报警装置、急救用品、冲洗设备、应急撤离通道和必要的泄险区等设置情况；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rPr>
          <w:spacing w:val="15"/>
          <w:sz w:val="31"/>
          <w:szCs w:val="31"/>
        </w:rPr>
      </w:pPr>
      <w:r>
        <w:rPr>
          <w:spacing w:val="15"/>
          <w:sz w:val="31"/>
          <w:szCs w:val="31"/>
        </w:rPr>
        <w:t>(6)是否有将产生职业病危害的作业转移给不具备职业病防护条件的单位和个人的情况；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rPr>
          <w:spacing w:val="15"/>
          <w:sz w:val="31"/>
          <w:szCs w:val="31"/>
        </w:rPr>
      </w:pPr>
      <w:r>
        <w:rPr>
          <w:spacing w:val="15"/>
          <w:sz w:val="31"/>
          <w:szCs w:val="31"/>
        </w:rPr>
        <w:t>(7)职业病危害隐患排查治理现场核实情况；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rPr>
          <w:spacing w:val="15"/>
          <w:sz w:val="31"/>
          <w:szCs w:val="31"/>
        </w:rPr>
      </w:pPr>
      <w:r>
        <w:rPr>
          <w:spacing w:val="15"/>
          <w:sz w:val="31"/>
          <w:szCs w:val="31"/>
        </w:rPr>
        <w:t>(8)存在放射危害因素的工作场所，用人单位是否编制评价报告，以及工作人员是否佩戴个人剂量计等情况；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rPr>
          <w:spacing w:val="15"/>
          <w:sz w:val="31"/>
          <w:szCs w:val="31"/>
        </w:rPr>
      </w:pPr>
      <w:r>
        <w:rPr>
          <w:spacing w:val="15"/>
          <w:sz w:val="31"/>
          <w:szCs w:val="31"/>
        </w:rPr>
        <w:t>(9)依法应检查的其他情况。</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right="0" w:firstLine="680" w:firstLineChars="200"/>
        <w:jc w:val="both"/>
        <w:textAlignment w:val="baseline"/>
        <w:rPr>
          <w:spacing w:val="15"/>
          <w:sz w:val="31"/>
          <w:szCs w:val="31"/>
        </w:rPr>
        <w:sectPr>
          <w:footerReference r:id="rId7" w:type="default"/>
          <w:pgSz w:w="11900" w:h="16840"/>
          <w:pgMar w:top="1431" w:right="1673" w:bottom="1357" w:left="1760" w:header="0" w:footer="1050" w:gutter="0"/>
          <w:cols w:space="720" w:num="1"/>
        </w:sect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591" w:firstLineChars="200"/>
        <w:jc w:val="both"/>
        <w:textAlignment w:val="baseline"/>
        <w:rPr>
          <w:rFonts w:ascii="楷体" w:hAnsi="楷体" w:eastAsia="楷体" w:cs="楷体"/>
          <w:sz w:val="32"/>
          <w:szCs w:val="32"/>
        </w:rPr>
      </w:pPr>
      <w:r>
        <w:rPr>
          <w:rFonts w:ascii="楷体" w:hAnsi="楷体" w:eastAsia="楷体" w:cs="楷体"/>
          <w:b/>
          <w:bCs/>
          <w:spacing w:val="-13"/>
          <w:sz w:val="32"/>
          <w:szCs w:val="32"/>
        </w:rPr>
        <w:t>(三)检查方式和频次</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用人单位组织管理方面的行政执法检查以查阅书面资料 为主，每年至少开展1次；工作场所的行政执法检查以抽查重点场所、关键工艺为主，必要时应进行全面检查</w:t>
      </w:r>
      <w:r>
        <w:rPr>
          <w:rFonts w:hint="eastAsia"/>
          <w:spacing w:val="15"/>
          <w:sz w:val="31"/>
          <w:szCs w:val="31"/>
          <w:lang w:eastAsia="zh-CN"/>
        </w:rPr>
        <w:t>，</w:t>
      </w:r>
      <w:r>
        <w:rPr>
          <w:spacing w:val="15"/>
          <w:sz w:val="31"/>
          <w:szCs w:val="31"/>
        </w:rPr>
        <w:t>每年1-2次。</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715" w:firstLineChars="200"/>
        <w:jc w:val="both"/>
        <w:textAlignment w:val="baseline"/>
        <w:rPr>
          <w:rFonts w:ascii="楷体" w:hAnsi="楷体" w:eastAsia="楷体" w:cs="楷体"/>
          <w:sz w:val="32"/>
          <w:szCs w:val="32"/>
        </w:rPr>
      </w:pPr>
      <w:r>
        <w:rPr>
          <w:rFonts w:ascii="楷体" w:hAnsi="楷体" w:eastAsia="楷体" w:cs="楷体"/>
          <w:b/>
          <w:bCs/>
          <w:spacing w:val="18"/>
          <w:sz w:val="32"/>
          <w:szCs w:val="32"/>
        </w:rPr>
        <w:t>(四)处理措施</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80" w:firstLineChars="200"/>
        <w:jc w:val="both"/>
        <w:textAlignment w:val="baseline"/>
        <w:rPr>
          <w:spacing w:val="15"/>
          <w:sz w:val="31"/>
          <w:szCs w:val="31"/>
        </w:rPr>
      </w:pPr>
      <w:r>
        <w:rPr>
          <w:spacing w:val="15"/>
          <w:sz w:val="31"/>
          <w:szCs w:val="31"/>
        </w:rPr>
        <w:t>卫生健康监督机构执法人员应将职业卫生工作检查情况向用人单位反馈。存在职业卫生违法违规行为，将立案查处。</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outlineLvl w:val="0"/>
        <w:rPr>
          <w:rFonts w:ascii="黑体" w:hAnsi="黑体" w:eastAsia="黑体" w:cs="黑体"/>
          <w:sz w:val="32"/>
          <w:szCs w:val="32"/>
        </w:rPr>
      </w:pPr>
      <w:r>
        <w:rPr>
          <w:rFonts w:ascii="黑体" w:hAnsi="黑体" w:eastAsia="黑体" w:cs="黑体"/>
          <w:b/>
          <w:bCs/>
          <w:spacing w:val="-3"/>
          <w:sz w:val="32"/>
          <w:szCs w:val="32"/>
        </w:rPr>
        <w:t>二、职业卫生“双随机”监督抽查计划</w:t>
      </w:r>
    </w:p>
    <w:p>
      <w:pPr>
        <w:pStyle w:val="2"/>
        <w:keepNext w:val="0"/>
        <w:keepLines w:val="0"/>
        <w:pageBreakBefore w:val="0"/>
        <w:widowControl/>
        <w:kinsoku w:val="0"/>
        <w:wordWrap/>
        <w:overflowPunct/>
        <w:topLinePunct w:val="0"/>
        <w:autoSpaceDE w:val="0"/>
        <w:autoSpaceDN w:val="0"/>
        <w:bidi w:val="0"/>
        <w:adjustRightInd w:val="0"/>
        <w:snapToGrid w:val="0"/>
        <w:spacing w:line="560" w:lineRule="exact"/>
        <w:ind w:left="0" w:right="0" w:firstLine="610"/>
        <w:jc w:val="both"/>
        <w:textAlignment w:val="baseline"/>
        <w:rPr>
          <w:sz w:val="32"/>
          <w:szCs w:val="32"/>
        </w:rPr>
        <w:sectPr>
          <w:footerReference r:id="rId8" w:type="default"/>
          <w:pgSz w:w="12200" w:h="17050"/>
          <w:pgMar w:top="1449" w:right="1570" w:bottom="1562" w:left="1830" w:header="0" w:footer="1247" w:gutter="0"/>
          <w:cols w:space="720" w:num="1"/>
        </w:sectPr>
      </w:pPr>
      <w:r>
        <w:rPr>
          <w:spacing w:val="11"/>
          <w:sz w:val="32"/>
          <w:szCs w:val="32"/>
        </w:rPr>
        <w:t>根据国家卫生健康委和省卫生健康委2024</w:t>
      </w:r>
      <w:r>
        <w:rPr>
          <w:spacing w:val="68"/>
          <w:sz w:val="32"/>
          <w:szCs w:val="32"/>
        </w:rPr>
        <w:t xml:space="preserve"> </w:t>
      </w:r>
      <w:r>
        <w:rPr>
          <w:spacing w:val="11"/>
          <w:sz w:val="32"/>
          <w:szCs w:val="32"/>
        </w:rPr>
        <w:t>年职业</w:t>
      </w:r>
      <w:r>
        <w:rPr>
          <w:spacing w:val="10"/>
          <w:sz w:val="32"/>
          <w:szCs w:val="32"/>
        </w:rPr>
        <w:t>卫生</w:t>
      </w:r>
      <w:r>
        <w:rPr>
          <w:sz w:val="32"/>
          <w:szCs w:val="32"/>
        </w:rPr>
        <w:t xml:space="preserve"> </w:t>
      </w:r>
      <w:r>
        <w:rPr>
          <w:spacing w:val="6"/>
          <w:sz w:val="32"/>
          <w:szCs w:val="32"/>
        </w:rPr>
        <w:t>“双随机”工作安排，开展职业健康检查机构和职</w:t>
      </w:r>
      <w:r>
        <w:rPr>
          <w:spacing w:val="5"/>
          <w:sz w:val="32"/>
          <w:szCs w:val="32"/>
        </w:rPr>
        <w:t>业卫生技</w:t>
      </w:r>
      <w:r>
        <w:rPr>
          <w:spacing w:val="-2"/>
          <w:sz w:val="32"/>
          <w:szCs w:val="32"/>
        </w:rPr>
        <w:t>术服务机构执法检查工作。</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0" w:right="0"/>
        <w:jc w:val="both"/>
        <w:textAlignment w:val="baseline"/>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A100F8EB-DB1C-4F67-96C3-80A8754C5012}"/>
  </w:font>
  <w:font w:name="黑体">
    <w:panose1 w:val="02010609060101010101"/>
    <w:charset w:val="86"/>
    <w:family w:val="auto"/>
    <w:pitch w:val="default"/>
    <w:sig w:usb0="800002BF" w:usb1="38CF7CFA" w:usb2="00000016" w:usb3="00000000" w:csb0="00040001" w:csb1="00000000"/>
    <w:embedRegular r:id="rId2" w:fontKey="{8272289C-ADB0-4024-928B-07525F70B68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F5A5F693-1417-4C34-BF1F-9B4D9B5B4F7C}"/>
  </w:font>
  <w:font w:name="仿宋">
    <w:panose1 w:val="02010609060101010101"/>
    <w:charset w:val="86"/>
    <w:family w:val="auto"/>
    <w:pitch w:val="default"/>
    <w:sig w:usb0="800002BF" w:usb1="38CF7CFA" w:usb2="00000016" w:usb3="00000000" w:csb0="00040001" w:csb1="00000000"/>
    <w:embedRegular r:id="rId4" w:fontKey="{7144EB4F-64FD-4E2B-B362-C426387E4B70}"/>
  </w:font>
  <w:font w:name="楷体">
    <w:panose1 w:val="02010609060101010101"/>
    <w:charset w:val="86"/>
    <w:family w:val="auto"/>
    <w:pitch w:val="default"/>
    <w:sig w:usb0="800002BF" w:usb1="38CF7CFA" w:usb2="00000016" w:usb3="00000000" w:csb0="00040001" w:csb1="00000000"/>
    <w:embedRegular r:id="rId5" w:fontKey="{53456D11-2C50-4EF5-B34F-33C14746309D}"/>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embedRegular r:id="rId6" w:fontKey="{27008B97-FBF5-4A1A-A9B5-D1ECD4BA89A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806"/>
      <w:rPr>
        <w:rFonts w:ascii="宋体" w:hAnsi="宋体" w:eastAsia="宋体" w:cs="宋体"/>
        <w:sz w:val="31"/>
        <w:szCs w:val="31"/>
      </w:rPr>
    </w:pPr>
    <w:r>
      <w:rPr>
        <w:rFonts w:ascii="宋体" w:hAnsi="宋体" w:eastAsia="宋体" w:cs="宋体"/>
        <w:spacing w:val="-13"/>
        <w:sz w:val="31"/>
        <w:szCs w:val="31"/>
      </w:rPr>
      <w:t>—3—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rFonts w:ascii="宋体" w:hAnsi="宋体" w:eastAsia="宋体" w:cs="宋体"/>
        <w:spacing w:val="-13"/>
        <w:sz w:val="31"/>
        <w:szCs w:val="31"/>
      </w:rPr>
      <w:t>—4—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ind w:left="7879"/>
      <w:rPr>
        <w:rFonts w:ascii="宋体" w:hAnsi="宋体" w:eastAsia="宋体" w:cs="宋体"/>
        <w:sz w:val="32"/>
        <w:szCs w:val="32"/>
      </w:rPr>
    </w:pPr>
    <w:r>
      <w:rPr>
        <w:rFonts w:ascii="宋体" w:hAnsi="宋体" w:eastAsia="宋体" w:cs="宋体"/>
        <w:spacing w:val="-23"/>
        <w:w w:val="97"/>
        <w:sz w:val="32"/>
        <w:szCs w:val="3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2NTA0NWVmY2ZiMGQzYjY5YmU0MmNmOTc4OTQ0ZDMifQ=="/>
  </w:docVars>
  <w:rsids>
    <w:rsidRoot w:val="7BBF39D2"/>
    <w:rsid w:val="4FC854F3"/>
    <w:rsid w:val="5C984D82"/>
    <w:rsid w:val="7BBF39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仿宋" w:hAnsi="仿宋" w:eastAsia="仿宋" w:cs="仿宋"/>
      <w:sz w:val="35"/>
      <w:szCs w:val="35"/>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2024-01-26T03:34:00Z</dcterms:created>
  <dc:creator>紫樱丿恋敏</dc:creator>
  <cp:lastModifiedBy>紫樱丿恋敏</cp:lastModifiedBy>
  <dcterms:modified xsi:type="dcterms:W3CDTF">2024-01-26T05:12:26Z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3442EE6B52D54630BE90C7A07CBF50C2_11</vt:lpwstr>
  </property>
</Properties>
</file>