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8AD690">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p>
    <w:p w14:paraId="7730F8D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p>
    <w:p w14:paraId="40E9C27A">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p>
    <w:p w14:paraId="1AB65B27">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p>
    <w:p w14:paraId="2672AF55">
      <w:pPr>
        <w:keepNext w:val="0"/>
        <w:keepLines w:val="0"/>
        <w:pageBreakBefore w:val="0"/>
        <w:widowControl w:val="0"/>
        <w:kinsoku/>
        <w:wordWrap/>
        <w:overflowPunct/>
        <w:topLinePunct w:val="0"/>
        <w:autoSpaceDE/>
        <w:autoSpaceDN/>
        <w:bidi w:val="0"/>
        <w:adjustRightInd/>
        <w:snapToGrid/>
        <w:spacing w:line="660" w:lineRule="exact"/>
        <w:jc w:val="center"/>
        <w:textAlignment w:val="auto"/>
        <w:rPr>
          <w:rFonts w:hint="eastAsia" w:ascii="仿宋" w:hAnsi="仿宋" w:eastAsia="仿宋" w:cs="仿宋"/>
          <w:sz w:val="32"/>
          <w:szCs w:val="32"/>
        </w:rPr>
      </w:pPr>
    </w:p>
    <w:p w14:paraId="2D5CC7DC">
      <w:pPr>
        <w:jc w:val="center"/>
        <w:rPr>
          <w:rFonts w:hint="eastAsia" w:ascii="仿宋" w:hAnsi="仿宋" w:eastAsia="仿宋" w:cs="仿宋"/>
          <w:sz w:val="32"/>
          <w:szCs w:val="32"/>
        </w:rPr>
      </w:pPr>
      <w:r>
        <w:rPr>
          <w:rFonts w:hint="eastAsia" w:ascii="仿宋" w:hAnsi="仿宋" w:eastAsia="仿宋" w:cs="仿宋"/>
          <w:sz w:val="32"/>
          <w:szCs w:val="32"/>
        </w:rPr>
        <w:t>双环评〔2025〕</w:t>
      </w:r>
      <w:r>
        <w:rPr>
          <w:rFonts w:hint="eastAsia" w:ascii="仿宋" w:hAnsi="仿宋" w:eastAsia="仿宋" w:cs="仿宋"/>
          <w:sz w:val="32"/>
          <w:szCs w:val="32"/>
          <w:lang w:val="en-US" w:eastAsia="zh-CN"/>
        </w:rPr>
        <w:t>3</w:t>
      </w:r>
      <w:r>
        <w:rPr>
          <w:rFonts w:hint="eastAsia" w:ascii="仿宋" w:hAnsi="仿宋" w:eastAsia="仿宋" w:cs="仿宋"/>
          <w:sz w:val="32"/>
          <w:szCs w:val="32"/>
        </w:rPr>
        <w:t>号</w:t>
      </w:r>
    </w:p>
    <w:p w14:paraId="2F05454A">
      <w:pPr>
        <w:jc w:val="center"/>
        <w:rPr>
          <w:rFonts w:hint="eastAsia" w:ascii="仿宋" w:hAnsi="仿宋" w:eastAsia="仿宋" w:cs="仿宋"/>
          <w:sz w:val="32"/>
          <w:szCs w:val="32"/>
        </w:rPr>
      </w:pPr>
    </w:p>
    <w:p w14:paraId="15335843">
      <w:pPr>
        <w:jc w:val="center"/>
        <w:rPr>
          <w:rFonts w:hint="eastAsia" w:ascii="宋体" w:hAnsi="宋体" w:eastAsia="宋体" w:cs="宋体"/>
          <w:sz w:val="44"/>
          <w:szCs w:val="44"/>
        </w:rPr>
      </w:pPr>
      <w:r>
        <w:rPr>
          <w:rFonts w:hint="eastAsia" w:ascii="宋体" w:hAnsi="宋体" w:eastAsia="宋体" w:cs="宋体"/>
          <w:b/>
          <w:bCs/>
          <w:sz w:val="44"/>
          <w:szCs w:val="44"/>
        </w:rPr>
        <w:t>关于双牌县茶林镇中心卫生院改扩建项目环境影响报告表的批复</w:t>
      </w:r>
    </w:p>
    <w:p w14:paraId="75463042">
      <w:pPr>
        <w:rPr>
          <w:rFonts w:hint="eastAsia"/>
        </w:rPr>
      </w:pPr>
    </w:p>
    <w:p w14:paraId="7E888EBF">
      <w:pPr>
        <w:rPr>
          <w:rFonts w:hint="eastAsia"/>
        </w:rPr>
      </w:pPr>
    </w:p>
    <w:p w14:paraId="521DD4EF">
      <w:pPr>
        <w:rPr>
          <w:rFonts w:hint="eastAsia" w:ascii="仿宋" w:hAnsi="仿宋" w:eastAsia="仿宋" w:cs="仿宋"/>
          <w:sz w:val="32"/>
          <w:szCs w:val="32"/>
        </w:rPr>
      </w:pPr>
      <w:r>
        <w:rPr>
          <w:rFonts w:hint="eastAsia" w:ascii="仿宋" w:hAnsi="仿宋" w:eastAsia="仿宋" w:cs="仿宋"/>
          <w:sz w:val="32"/>
          <w:szCs w:val="32"/>
        </w:rPr>
        <w:t>双牌县茶林镇中心卫生院：</w:t>
      </w:r>
    </w:p>
    <w:p w14:paraId="4105AA57">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你院</w:t>
      </w:r>
      <w:r>
        <w:rPr>
          <w:rFonts w:hint="eastAsia" w:ascii="仿宋" w:hAnsi="仿宋" w:eastAsia="仿宋" w:cs="仿宋"/>
          <w:sz w:val="32"/>
          <w:szCs w:val="32"/>
        </w:rPr>
        <w:t>委托湖南万帆环保工程有限公司编制的《双牌县茶林镇中心卫生院改扩建项目环评报告表》（以下简称《报告表》）及相关附件收悉。经研究，现批复如下：</w:t>
      </w:r>
    </w:p>
    <w:p w14:paraId="33446520">
      <w:pPr>
        <w:keepNext w:val="0"/>
        <w:keepLines w:val="0"/>
        <w:pageBreakBefore w:val="0"/>
        <w:widowControl w:val="0"/>
        <w:numPr>
          <w:ilvl w:val="0"/>
          <w:numId w:val="1"/>
        </w:numPr>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你院于2022年向上级部门申请将床位由原有5张床位增加至25张床位，配套新增住院大楼一栋，拟在</w:t>
      </w:r>
      <w:r>
        <w:rPr>
          <w:rFonts w:hint="eastAsia" w:ascii="仿宋" w:hAnsi="仿宋" w:eastAsia="仿宋" w:cs="仿宋"/>
          <w:sz w:val="32"/>
          <w:szCs w:val="32"/>
        </w:rPr>
        <w:t>双牌县茶林镇大河江村，</w:t>
      </w:r>
      <w:r>
        <w:rPr>
          <w:rFonts w:hint="eastAsia" w:ascii="仿宋" w:hAnsi="仿宋" w:eastAsia="仿宋" w:cs="仿宋"/>
          <w:sz w:val="32"/>
          <w:szCs w:val="32"/>
          <w:lang w:eastAsia="zh-CN"/>
        </w:rPr>
        <w:t>茶林镇卫生院原址上扩建茶林镇中心卫生院，</w:t>
      </w:r>
      <w:r>
        <w:rPr>
          <w:rFonts w:hint="eastAsia" w:ascii="仿宋" w:hAnsi="仿宋" w:eastAsia="仿宋" w:cs="仿宋"/>
          <w:sz w:val="32"/>
          <w:szCs w:val="32"/>
        </w:rPr>
        <w:t>扩建项目新增住院大楼占地面积660m</w:t>
      </w:r>
      <w:r>
        <w:rPr>
          <w:rFonts w:hint="eastAsia" w:ascii="仿宋" w:hAnsi="仿宋" w:eastAsia="仿宋" w:cs="仿宋"/>
          <w:sz w:val="32"/>
          <w:szCs w:val="32"/>
          <w:vertAlign w:val="superscript"/>
        </w:rPr>
        <w:t>2</w:t>
      </w:r>
      <w:r>
        <w:rPr>
          <w:rFonts w:hint="eastAsia" w:ascii="仿宋" w:hAnsi="仿宋" w:eastAsia="仿宋" w:cs="仿宋"/>
          <w:sz w:val="32"/>
          <w:szCs w:val="32"/>
        </w:rPr>
        <w:t>，新增20张床位，</w:t>
      </w:r>
      <w:r>
        <w:rPr>
          <w:rFonts w:hint="eastAsia" w:ascii="仿宋" w:hAnsi="仿宋" w:eastAsia="仿宋" w:cs="仿宋"/>
          <w:sz w:val="32"/>
          <w:szCs w:val="32"/>
          <w:lang w:eastAsia="zh-CN"/>
        </w:rPr>
        <w:t>项目</w:t>
      </w:r>
      <w:r>
        <w:rPr>
          <w:rFonts w:hint="eastAsia" w:ascii="仿宋" w:hAnsi="仿宋" w:eastAsia="仿宋" w:cs="仿宋"/>
          <w:sz w:val="32"/>
          <w:szCs w:val="32"/>
        </w:rPr>
        <w:t>总投资400万元，</w:t>
      </w:r>
      <w:r>
        <w:rPr>
          <w:rFonts w:hint="eastAsia" w:ascii="仿宋" w:hAnsi="仿宋" w:eastAsia="仿宋" w:cs="仿宋"/>
          <w:sz w:val="32"/>
          <w:szCs w:val="32"/>
          <w:lang w:eastAsia="zh-CN"/>
        </w:rPr>
        <w:t>其中新增</w:t>
      </w:r>
      <w:r>
        <w:rPr>
          <w:rFonts w:hint="eastAsia" w:ascii="仿宋" w:hAnsi="仿宋" w:eastAsia="仿宋" w:cs="仿宋"/>
          <w:sz w:val="32"/>
          <w:szCs w:val="32"/>
        </w:rPr>
        <w:t>环保投资20万元，占总投资的5%。项目扩建完成后将原有住院部搬迁至新增住院大楼</w:t>
      </w:r>
      <w:r>
        <w:rPr>
          <w:rFonts w:hint="eastAsia" w:ascii="仿宋" w:hAnsi="仿宋" w:eastAsia="仿宋" w:cs="仿宋"/>
          <w:sz w:val="32"/>
          <w:szCs w:val="32"/>
          <w:lang w:eastAsia="zh-CN"/>
        </w:rPr>
        <w:t>，项目</w:t>
      </w:r>
      <w:r>
        <w:rPr>
          <w:rFonts w:hint="eastAsia" w:ascii="仿宋" w:hAnsi="仿宋" w:eastAsia="仿宋" w:cs="仿宋"/>
          <w:sz w:val="32"/>
          <w:szCs w:val="32"/>
        </w:rPr>
        <w:t>中心地理坐标东经111°49′5.402″，北纬26°6′59.124″</w:t>
      </w:r>
      <w:r>
        <w:rPr>
          <w:rFonts w:hint="eastAsia" w:ascii="仿宋" w:hAnsi="仿宋" w:eastAsia="仿宋" w:cs="仿宋"/>
          <w:sz w:val="32"/>
          <w:szCs w:val="32"/>
          <w:lang w:eastAsia="zh-CN"/>
        </w:rPr>
        <w:t>。根据报告表分析结论，在建设单位严格落实《报告表》和本批复提出的各项环保要求及环境影响减缓措施、确保污染物达标排放的前提下，依据《中华人民共和国环境影响评价法》第二十二条等条款规定，从环境保护的角度分析，我局同意该项目建设。本批复及《报告表》等有关附件是该项目环保审批的法律文件。本项目《报告表》经批准后，若项目的性质、规模、地点、相关工艺和环境保护措施发生重大变动，必须重新报批。</w:t>
      </w:r>
    </w:p>
    <w:p w14:paraId="155E6365">
      <w:pPr>
        <w:keepNext w:val="0"/>
        <w:keepLines w:val="0"/>
        <w:pageBreakBefore w:val="0"/>
        <w:widowControl w:val="0"/>
        <w:numPr>
          <w:ilvl w:val="0"/>
          <w:numId w:val="1"/>
        </w:numPr>
        <w:kinsoku/>
        <w:wordWrap/>
        <w:overflowPunct/>
        <w:topLinePunct w:val="0"/>
        <w:autoSpaceDE/>
        <w:autoSpaceDN/>
        <w:bidi w:val="0"/>
        <w:adjustRightInd/>
        <w:snapToGrid/>
        <w:ind w:left="0" w:leftChars="0"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项目在设计、建设、运营过程中要认真落实环评提出的各项污染物防治措施及环评批复要求，重点做好如下工作：</w:t>
      </w:r>
    </w:p>
    <w:p w14:paraId="7DFECE4A">
      <w:pPr>
        <w:keepNext w:val="0"/>
        <w:keepLines w:val="0"/>
        <w:pageBreakBefore w:val="0"/>
        <w:widowControl w:val="0"/>
        <w:numPr>
          <w:ilvl w:val="0"/>
          <w:numId w:val="0"/>
        </w:numPr>
        <w:kinsoku/>
        <w:wordWrap/>
        <w:overflowPunct/>
        <w:topLinePunct w:val="0"/>
        <w:autoSpaceDE/>
        <w:autoSpaceDN/>
        <w:bidi w:val="0"/>
        <w:adjustRightInd/>
        <w:snapToGrid/>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 xml:space="preserve">    （一）相关政策要求。按照国家《环境保护图形标志》的规定，设置原国家环境保护局统一制作的环境保护图形标志牌，便于单位管理和公众监督。</w:t>
      </w:r>
    </w:p>
    <w:p w14:paraId="099FA7E9">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二</w:t>
      </w:r>
      <w:r>
        <w:rPr>
          <w:rFonts w:hint="eastAsia" w:ascii="仿宋" w:hAnsi="仿宋" w:eastAsia="仿宋" w:cs="仿宋"/>
          <w:sz w:val="32"/>
          <w:szCs w:val="32"/>
        </w:rPr>
        <w:t>）落实大气污染物防治措施：运营期应定期对污水处理站、医废暂存间进行消毒杀菌，污水处理设施周边废气排放应满足《医疗机构水污染物排放标准》（GB18466-2005）表3中限值要求。食堂油烟应经油烟净化装置处理后排放，排放浓度应满足《餐饮业油烟污染物排放要求》（DB5301/T50-2021）中的标准限值要求。</w:t>
      </w:r>
    </w:p>
    <w:p w14:paraId="0CA3906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三</w:t>
      </w:r>
      <w:r>
        <w:rPr>
          <w:rFonts w:hint="eastAsia" w:ascii="仿宋" w:hAnsi="仿宋" w:eastAsia="仿宋" w:cs="仿宋"/>
          <w:sz w:val="32"/>
          <w:szCs w:val="32"/>
        </w:rPr>
        <w:t>）落实水污染物防治措施：运营期间食堂废水和医疗废水一起排入自建污水系统经过（隔油池+化粪池+沉淀+消毒工艺）处理后应达《污水排入城镇下水道水质标准》（GB/T31962-2015）表 1 中 A 等级标准及《医疗机构水污染物排放标准》（GB18466-2005）表 2 预处理标准后，排入市政污水管网，最终进入茶林镇污水处理厂。</w:t>
      </w:r>
    </w:p>
    <w:p w14:paraId="4CAA03DE">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四</w:t>
      </w:r>
      <w:r>
        <w:rPr>
          <w:rFonts w:hint="eastAsia" w:ascii="仿宋" w:hAnsi="仿宋" w:eastAsia="仿宋" w:cs="仿宋"/>
          <w:sz w:val="32"/>
          <w:szCs w:val="32"/>
        </w:rPr>
        <w:t>）落实噪声防治措施：运营期设备运行噪声，通过地面阻隔、基础减震和距离衰减后，项目四周厂界噪声应满足《工业企业厂界环境噪声排放标准》(GB12348-2008) 2 类标准要求。</w:t>
      </w:r>
    </w:p>
    <w:p w14:paraId="74DA1E5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 w:hAnsi="仿宋" w:eastAsia="仿宋" w:cs="仿宋"/>
          <w:sz w:val="32"/>
          <w:szCs w:val="32"/>
          <w:lang w:eastAsia="zh-CN"/>
        </w:rPr>
        <w:t>五</w:t>
      </w:r>
      <w:r>
        <w:rPr>
          <w:rFonts w:hint="eastAsia" w:ascii="仿宋" w:hAnsi="仿宋" w:eastAsia="仿宋" w:cs="仿宋"/>
          <w:sz w:val="32"/>
          <w:szCs w:val="32"/>
        </w:rPr>
        <w:t>）落实固体废物处置措施：运营期间危险废物需分类收集，医疗废物、污水处理污泥等应暂存于危险废物暂存间内，定期委托有资质的单位清运处置，危险废物贮存必须严格按照《危险废物贮存污染控制标准》（GB18597-2023）执行。医疗废物按《医疗废物管理条例》（国务院第 380号）相关要求进行管理。</w:t>
      </w:r>
    </w:p>
    <w:p w14:paraId="2D5CC48B">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highlight w:val="none"/>
          <w:lang w:eastAsia="zh-CN"/>
        </w:rPr>
      </w:pPr>
      <w:r>
        <w:rPr>
          <w:rFonts w:hint="eastAsia" w:ascii="仿宋" w:hAnsi="仿宋" w:eastAsia="仿宋" w:cs="仿宋"/>
          <w:sz w:val="32"/>
          <w:szCs w:val="32"/>
          <w:lang w:eastAsia="zh-CN"/>
        </w:rPr>
        <w:t>（六）环境风险防范。</w:t>
      </w:r>
      <w:r>
        <w:rPr>
          <w:rFonts w:hint="eastAsia" w:ascii="仿宋" w:hAnsi="仿宋" w:eastAsia="仿宋" w:cs="仿宋"/>
          <w:sz w:val="32"/>
          <w:szCs w:val="32"/>
          <w:highlight w:val="none"/>
          <w:lang w:eastAsia="zh-CN"/>
        </w:rPr>
        <w:t>项目应认真落实《报告表》提出的各项环境风险防范措施，杜绝污染事故发生。</w:t>
      </w:r>
      <w:r>
        <w:rPr>
          <w:rFonts w:hint="eastAsia" w:ascii="仿宋" w:hAnsi="仿宋" w:eastAsia="仿宋" w:cs="仿宋"/>
          <w:sz w:val="32"/>
          <w:szCs w:val="32"/>
          <w:lang w:eastAsia="zh-CN"/>
        </w:rPr>
        <w:t>加强环境风险管理，建立严格的操作制度，通过岗前培训、应急演练等方式，不断提高职工素质和处理突发事件的能力。配备环保管理人员，做好污防设施的维护管理，确保设备长期稳定运行。</w:t>
      </w:r>
      <w:r>
        <w:rPr>
          <w:rFonts w:hint="eastAsia" w:ascii="仿宋" w:hAnsi="仿宋" w:eastAsia="仿宋" w:cs="仿宋"/>
          <w:sz w:val="32"/>
          <w:szCs w:val="32"/>
          <w:highlight w:val="none"/>
          <w:lang w:eastAsia="zh-CN"/>
        </w:rPr>
        <w:t>建立健全环境管理制度，并根据《湖南省突发环境事件应急预案管理办法(修订版)》(湘环发〔2024]49号)的规定做好突发环境事件应急预案管理相关工作。</w:t>
      </w:r>
    </w:p>
    <w:p w14:paraId="67519A9C">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（七）维护社会稳定。加强对项目附近环境敏感点的环境保护，处理好与周边的关系，防止因环保诉求而引发矛盾，自觉维护社会稳定。</w:t>
      </w:r>
    </w:p>
    <w:p w14:paraId="50B40F6D">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（八）总量控制。本项目</w:t>
      </w:r>
      <w:r>
        <w:rPr>
          <w:rFonts w:hint="eastAsia" w:ascii="仿宋" w:hAnsi="仿宋" w:eastAsia="仿宋" w:cs="仿宋"/>
          <w:sz w:val="32"/>
          <w:szCs w:val="32"/>
          <w:lang w:eastAsia="zh-CN"/>
        </w:rPr>
        <w:t>为生活污染源，</w:t>
      </w:r>
      <w:r>
        <w:rPr>
          <w:rFonts w:hint="eastAsia" w:ascii="仿宋" w:hAnsi="仿宋" w:eastAsia="仿宋" w:cs="仿宋"/>
          <w:sz w:val="32"/>
          <w:szCs w:val="32"/>
        </w:rPr>
        <w:t>无需申请主要污染物总量控制指标。</w:t>
      </w:r>
    </w:p>
    <w:p w14:paraId="180C071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三、严格执行环境保护设施应与主体工程同时设计、同时施工、同时投入使用的环保“三同时”制度。</w:t>
      </w:r>
      <w:r>
        <w:rPr>
          <w:rFonts w:hint="eastAsia" w:ascii="仿宋" w:hAnsi="仿宋" w:eastAsia="仿宋" w:cs="仿宋"/>
          <w:sz w:val="32"/>
          <w:szCs w:val="32"/>
          <w:lang w:eastAsia="zh-CN"/>
        </w:rPr>
        <w:t>项目竣工后</w:t>
      </w:r>
      <w:r>
        <w:rPr>
          <w:rFonts w:hint="eastAsia" w:ascii="仿宋" w:hAnsi="仿宋" w:eastAsia="仿宋" w:cs="仿宋"/>
          <w:sz w:val="32"/>
          <w:szCs w:val="32"/>
        </w:rPr>
        <w:t>，</w:t>
      </w:r>
      <w:r>
        <w:rPr>
          <w:rFonts w:hint="eastAsia" w:ascii="仿宋" w:hAnsi="仿宋" w:eastAsia="仿宋" w:cs="仿宋"/>
          <w:sz w:val="32"/>
          <w:szCs w:val="32"/>
          <w:highlight w:val="none"/>
        </w:rPr>
        <w:t>应按照《建设项目环境保护管理条例》《建设项目竣工环境保护验收暂行办法》等规定</w:t>
      </w:r>
      <w:r>
        <w:rPr>
          <w:rFonts w:hint="eastAsia" w:ascii="仿宋" w:hAnsi="仿宋" w:eastAsia="仿宋" w:cs="仿宋"/>
          <w:sz w:val="32"/>
          <w:szCs w:val="32"/>
        </w:rPr>
        <w:t>自主开展竣工环保验收，经验收合格后方可正式投入运行。</w:t>
      </w:r>
    </w:p>
    <w:p w14:paraId="00B805B8">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eastAsia="zh-CN"/>
        </w:rPr>
        <w:t>四、永州市双牌生态环境保护综合行政执法局负责该项目环保“三同时”制度执行情况的监督检查和日常环境管理工作，督促落实好各项环保措施。你单位应当按规定接受各级生态环境部门的监督检查。</w:t>
      </w:r>
    </w:p>
    <w:p w14:paraId="535BA741">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lang w:val="en-US" w:eastAsia="zh-CN"/>
        </w:rPr>
      </w:pPr>
    </w:p>
    <w:p w14:paraId="1EBBBBA0">
      <w:pPr>
        <w:keepNext w:val="0"/>
        <w:keepLines w:val="0"/>
        <w:pageBreakBefore w:val="0"/>
        <w:widowControl w:val="0"/>
        <w:kinsoku/>
        <w:wordWrap/>
        <w:overflowPunct/>
        <w:topLinePunct w:val="0"/>
        <w:autoSpaceDE/>
        <w:autoSpaceDN/>
        <w:bidi w:val="0"/>
        <w:adjustRightInd/>
        <w:snapToGrid/>
        <w:jc w:val="right"/>
        <w:textAlignment w:val="auto"/>
        <w:rPr>
          <w:rFonts w:hint="eastAsia" w:ascii="仿宋" w:hAnsi="仿宋" w:eastAsia="仿宋" w:cs="仿宋"/>
          <w:sz w:val="32"/>
          <w:szCs w:val="32"/>
          <w:lang w:eastAsia="zh-CN"/>
        </w:rPr>
      </w:pPr>
      <w:r>
        <w:rPr>
          <w:rFonts w:hint="eastAsia" w:ascii="仿宋" w:hAnsi="仿宋" w:eastAsia="仿宋" w:cs="仿宋"/>
          <w:sz w:val="32"/>
          <w:szCs w:val="32"/>
          <w:lang w:eastAsia="zh-CN"/>
        </w:rPr>
        <w:t>永州市生态环境局</w:t>
      </w:r>
    </w:p>
    <w:p w14:paraId="7A63E15B">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r>
        <w:rPr>
          <w:rFonts w:hint="eastAsia" w:ascii="仿宋" w:hAnsi="仿宋" w:eastAsia="仿宋" w:cs="仿宋"/>
          <w:sz w:val="32"/>
          <w:szCs w:val="32"/>
        </w:rPr>
        <w:t>2025年</w:t>
      </w:r>
      <w:r>
        <w:rPr>
          <w:rFonts w:hint="eastAsia" w:ascii="仿宋" w:hAnsi="仿宋" w:eastAsia="仿宋" w:cs="仿宋"/>
          <w:sz w:val="32"/>
          <w:szCs w:val="32"/>
          <w:lang w:val="en-US" w:eastAsia="zh-CN"/>
        </w:rPr>
        <w:t>8</w:t>
      </w:r>
      <w:r>
        <w:rPr>
          <w:rFonts w:hint="eastAsia" w:ascii="仿宋" w:hAnsi="仿宋" w:eastAsia="仿宋" w:cs="仿宋"/>
          <w:sz w:val="32"/>
          <w:szCs w:val="32"/>
        </w:rPr>
        <w:t>月</w:t>
      </w:r>
      <w:r>
        <w:rPr>
          <w:rFonts w:hint="eastAsia" w:ascii="仿宋" w:hAnsi="仿宋" w:eastAsia="仿宋" w:cs="仿宋"/>
          <w:sz w:val="32"/>
          <w:szCs w:val="32"/>
          <w:lang w:val="en-US" w:eastAsia="zh-CN"/>
        </w:rPr>
        <w:t>26</w:t>
      </w:r>
      <w:r>
        <w:rPr>
          <w:rFonts w:hint="eastAsia" w:ascii="仿宋" w:hAnsi="仿宋" w:eastAsia="仿宋" w:cs="仿宋"/>
          <w:sz w:val="32"/>
          <w:szCs w:val="32"/>
        </w:rPr>
        <w:t>日</w:t>
      </w:r>
    </w:p>
    <w:p w14:paraId="326A37E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p>
    <w:p w14:paraId="756804DF">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p>
    <w:p w14:paraId="64B2BEBD">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p>
    <w:p w14:paraId="48BF2ECA">
      <w:pPr>
        <w:keepNext w:val="0"/>
        <w:keepLines w:val="0"/>
        <w:pageBreakBefore w:val="0"/>
        <w:widowControl w:val="0"/>
        <w:kinsoku/>
        <w:wordWrap/>
        <w:overflowPunct/>
        <w:topLinePunct w:val="0"/>
        <w:autoSpaceDE/>
        <w:autoSpaceDN/>
        <w:bidi w:val="0"/>
        <w:adjustRightInd/>
        <w:snapToGrid/>
        <w:ind w:firstLine="640" w:firstLineChars="200"/>
        <w:jc w:val="right"/>
        <w:textAlignment w:val="auto"/>
        <w:rPr>
          <w:rFonts w:hint="eastAsia" w:ascii="仿宋" w:hAnsi="仿宋" w:eastAsia="仿宋" w:cs="仿宋"/>
          <w:sz w:val="32"/>
          <w:szCs w:val="32"/>
        </w:rPr>
      </w:pPr>
    </w:p>
    <w:p w14:paraId="062B614A">
      <w:pPr>
        <w:keepNext w:val="0"/>
        <w:keepLines w:val="0"/>
        <w:pageBreakBefore w:val="0"/>
        <w:widowControl w:val="0"/>
        <w:kinsoku/>
        <w:wordWrap/>
        <w:overflowPunct/>
        <w:topLinePunct w:val="0"/>
        <w:autoSpaceDE/>
        <w:autoSpaceDN/>
        <w:bidi w:val="0"/>
        <w:adjustRightInd/>
        <w:snapToGrid/>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抄送：茶林镇人民政府，双牌县卫生健康局，湖南万帆环保工程有限公司</w:t>
      </w: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535476">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82EA4A">
    <w:pPr>
      <w:pStyle w:val="3"/>
    </w:pPr>
    <w:bookmarkStart w:id="0" w:name="_GoBack"/>
    <w:bookmarkEnd w:id="0"/>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7FE1864"/>
    <w:multiLevelType w:val="singleLevel"/>
    <w:tmpl w:val="D7FE186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EBF2FA3"/>
    <w:rsid w:val="08E73A6D"/>
    <w:rsid w:val="0EDC1FC8"/>
    <w:rsid w:val="15C300E9"/>
    <w:rsid w:val="2DD651A9"/>
    <w:rsid w:val="3EBF2FA3"/>
    <w:rsid w:val="48386BBB"/>
    <w:rsid w:val="59954441"/>
    <w:rsid w:val="632E1176"/>
    <w:rsid w:val="6E04158E"/>
    <w:rsid w:val="7C032D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1580</Words>
  <Characters>1694</Characters>
  <Lines>0</Lines>
  <Paragraphs>0</Paragraphs>
  <TotalTime>15</TotalTime>
  <ScaleCrop>false</ScaleCrop>
  <LinksUpToDate>false</LinksUpToDate>
  <CharactersWithSpaces>1707</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2025-06-17T02:24:00Z</dcterms:created>
  <dc:creator>WPS_1600158910</dc:creator>
  <cp:lastModifiedBy>小平子</cp:lastModifiedBy>
  <cp:lastPrinted>2025-08-26T08:35:43Z</cp:lastPrinted>
  <dcterms:modified xsi:type="dcterms:W3CDTF">2025-08-26T08:39:01Z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3D6BE8B45BFC4A4789EDA54F3445A4BE_13</vt:lpwstr>
  </property>
  <property fmtid="{D5CDD505-2E9C-101B-9397-08002B2CF9AE}" pid="4" name="KSOTemplateDocerSaveRecord">
    <vt:lpwstr>eyJoZGlkIjoiYmQ0YzE1MGVkMmRhMjA2MzBhZTUwZTc4YzAzMWFiODciLCJ1c2VySWQiOiI0MzkzNDg4ODcifQ==</vt:lpwstr>
  </property>
</Properties>
</file>