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A187E6">
      <w:pPr>
        <w:spacing w:before="58" w:line="299" w:lineRule="auto"/>
        <w:ind w:left="2844" w:right="1330" w:hanging="903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-5"/>
          <w:sz w:val="35"/>
          <w:szCs w:val="35"/>
        </w:rPr>
        <w:t>202</w:t>
      </w:r>
      <w:r>
        <w:rPr>
          <w:rFonts w:hint="eastAsia" w:ascii="宋体" w:hAnsi="宋体" w:eastAsia="宋体" w:cs="宋体"/>
          <w:b/>
          <w:bCs/>
          <w:spacing w:val="-5"/>
          <w:sz w:val="35"/>
          <w:szCs w:val="35"/>
          <w:lang w:val="en-US" w:eastAsia="zh-CN"/>
        </w:rPr>
        <w:t>6</w:t>
      </w:r>
      <w:r>
        <w:rPr>
          <w:rFonts w:ascii="宋体" w:hAnsi="宋体" w:eastAsia="宋体" w:cs="宋体"/>
          <w:b/>
          <w:bCs/>
          <w:spacing w:val="-5"/>
          <w:sz w:val="35"/>
          <w:szCs w:val="35"/>
        </w:rPr>
        <w:t>年度</w:t>
      </w:r>
      <w:r>
        <w:rPr>
          <w:rFonts w:hint="eastAsia" w:ascii="宋体" w:hAnsi="宋体" w:eastAsia="宋体" w:cs="宋体"/>
          <w:b/>
          <w:bCs/>
          <w:spacing w:val="-5"/>
          <w:sz w:val="35"/>
          <w:szCs w:val="35"/>
          <w:lang w:val="en-US" w:eastAsia="zh-CN"/>
        </w:rPr>
        <w:t>双牌县农业农村局</w:t>
      </w:r>
      <w:r>
        <w:rPr>
          <w:rFonts w:ascii="宋体" w:hAnsi="宋体" w:eastAsia="宋体" w:cs="宋体"/>
          <w:b/>
          <w:bCs/>
          <w:spacing w:val="-5"/>
          <w:sz w:val="35"/>
          <w:szCs w:val="35"/>
        </w:rPr>
        <w:t>“谁执法谁普法”普法责任清单</w:t>
      </w:r>
    </w:p>
    <w:tbl>
      <w:tblPr>
        <w:tblStyle w:val="6"/>
        <w:tblW w:w="1358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36"/>
        <w:gridCol w:w="11350"/>
      </w:tblGrid>
      <w:tr w14:paraId="44DAF4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2236" w:type="dxa"/>
            <w:vAlign w:val="top"/>
          </w:tcPr>
          <w:p w14:paraId="7535968E">
            <w:pPr>
              <w:pStyle w:val="7"/>
              <w:spacing w:before="79" w:line="214" w:lineRule="auto"/>
              <w:ind w:left="131"/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责任单位名称</w:t>
            </w:r>
          </w:p>
        </w:tc>
        <w:tc>
          <w:tcPr>
            <w:tcW w:w="11350" w:type="dxa"/>
            <w:vAlign w:val="top"/>
          </w:tcPr>
          <w:p w14:paraId="5FED6AC5">
            <w:pPr>
              <w:pStyle w:val="7"/>
              <w:spacing w:before="198" w:line="22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pacing w:val="2"/>
                <w:sz w:val="28"/>
                <w:szCs w:val="28"/>
                <w:lang w:val="en-US" w:eastAsia="zh-CN"/>
              </w:rPr>
              <w:t>双牌县农业农村局</w:t>
            </w:r>
          </w:p>
        </w:tc>
      </w:tr>
      <w:tr w14:paraId="631B34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2236" w:type="dxa"/>
            <w:vAlign w:val="top"/>
          </w:tcPr>
          <w:p w14:paraId="0F24D995">
            <w:pPr>
              <w:pStyle w:val="7"/>
              <w:spacing w:before="79" w:line="214" w:lineRule="auto"/>
              <w:ind w:left="131"/>
              <w:jc w:val="center"/>
              <w:rPr>
                <w:spacing w:val="-1"/>
                <w:sz w:val="28"/>
                <w:szCs w:val="28"/>
              </w:rPr>
            </w:pPr>
          </w:p>
          <w:p w14:paraId="54FDB952">
            <w:pPr>
              <w:pStyle w:val="7"/>
              <w:spacing w:before="79" w:line="214" w:lineRule="auto"/>
              <w:ind w:left="131"/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公共普法内容</w:t>
            </w:r>
          </w:p>
        </w:tc>
        <w:tc>
          <w:tcPr>
            <w:tcW w:w="11350" w:type="dxa"/>
            <w:vAlign w:val="top"/>
          </w:tcPr>
          <w:p w14:paraId="7EB08D73">
            <w:pPr>
              <w:pStyle w:val="7"/>
              <w:spacing w:before="79" w:line="214" w:lineRule="auto"/>
              <w:ind w:left="131"/>
              <w:rPr>
                <w:rFonts w:hint="eastAsia" w:eastAsia="宋体"/>
                <w:spacing w:val="-1"/>
                <w:sz w:val="28"/>
                <w:szCs w:val="28"/>
                <w:lang w:eastAsia="zh-CN"/>
              </w:rPr>
            </w:pPr>
            <w:r>
              <w:rPr>
                <w:spacing w:val="-1"/>
                <w:sz w:val="28"/>
                <w:szCs w:val="28"/>
              </w:rPr>
              <w:t>《习近平法治思想》、《中华人民共和国宪法》、《中华人民共和国民法典》、《中华人民共和国</w:t>
            </w:r>
            <w:r>
              <w:rPr>
                <w:spacing w:val="-2"/>
              </w:rPr>
              <w:t>法治宣传教育法</w:t>
            </w:r>
            <w:r>
              <w:rPr>
                <w:rFonts w:hint="eastAsia"/>
                <w:spacing w:val="-2"/>
                <w:lang w:eastAsia="zh-CN"/>
              </w:rPr>
              <w:t>》、</w:t>
            </w:r>
            <w:r>
              <w:rPr>
                <w:spacing w:val="-1"/>
                <w:sz w:val="28"/>
                <w:szCs w:val="28"/>
              </w:rPr>
              <w:t>《中华人民共和国</w:t>
            </w:r>
            <w:r>
              <w:rPr>
                <w:spacing w:val="-2"/>
              </w:rPr>
              <w:t>生态环境法典</w:t>
            </w:r>
            <w:r>
              <w:rPr>
                <w:rFonts w:hint="eastAsia"/>
                <w:spacing w:val="-2"/>
                <w:lang w:eastAsia="zh-CN"/>
              </w:rPr>
              <w:t>》、</w:t>
            </w:r>
            <w:r>
              <w:rPr>
                <w:spacing w:val="-1"/>
                <w:sz w:val="28"/>
                <w:szCs w:val="28"/>
              </w:rPr>
              <w:t>《中华人民共和国国家安全法》</w:t>
            </w:r>
            <w:r>
              <w:rPr>
                <w:rFonts w:hint="eastAsia"/>
                <w:spacing w:val="-1"/>
                <w:sz w:val="28"/>
                <w:szCs w:val="28"/>
                <w:lang w:eastAsia="zh-CN"/>
              </w:rPr>
              <w:t>、</w:t>
            </w:r>
            <w:r>
              <w:rPr>
                <w:spacing w:val="-1"/>
                <w:sz w:val="28"/>
                <w:szCs w:val="28"/>
              </w:rPr>
              <w:t>《中华人民共和国行政处罚法》（</w:t>
            </w:r>
            <w:r>
              <w:rPr>
                <w:rFonts w:hint="eastAsia"/>
                <w:spacing w:val="-1"/>
                <w:sz w:val="28"/>
                <w:szCs w:val="28"/>
              </w:rPr>
              <w:t>2021年修正）、党内法规</w:t>
            </w:r>
            <w:r>
              <w:rPr>
                <w:rFonts w:hint="eastAsia"/>
                <w:spacing w:val="-1"/>
                <w:sz w:val="28"/>
                <w:szCs w:val="28"/>
                <w:lang w:val="en-US" w:eastAsia="zh-CN"/>
              </w:rPr>
              <w:t>以及</w:t>
            </w:r>
            <w:r>
              <w:rPr>
                <w:spacing w:val="-3"/>
              </w:rPr>
              <w:t>促进高质量发展、助推“三高四新</w:t>
            </w:r>
            <w:r>
              <w:rPr>
                <w:spacing w:val="-103"/>
              </w:rPr>
              <w:t xml:space="preserve"> </w:t>
            </w:r>
            <w:r>
              <w:rPr>
                <w:spacing w:val="-3"/>
              </w:rPr>
              <w:t>”战略实施相</w:t>
            </w:r>
            <w:r>
              <w:rPr>
                <w:spacing w:val="-2"/>
              </w:rPr>
              <w:t>关的法律法规</w:t>
            </w:r>
            <w:r>
              <w:rPr>
                <w:rFonts w:hint="eastAsia"/>
                <w:spacing w:val="-2"/>
                <w:lang w:val="en-US" w:eastAsia="zh-CN"/>
              </w:rPr>
              <w:t>等</w:t>
            </w:r>
            <w:r>
              <w:rPr>
                <w:spacing w:val="-1"/>
              </w:rPr>
              <w:t>。</w:t>
            </w:r>
          </w:p>
        </w:tc>
      </w:tr>
      <w:tr w14:paraId="0D98CB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7" w:hRule="atLeast"/>
          <w:jc w:val="center"/>
        </w:trPr>
        <w:tc>
          <w:tcPr>
            <w:tcW w:w="2236" w:type="dxa"/>
            <w:vAlign w:val="top"/>
          </w:tcPr>
          <w:p w14:paraId="276F9E22">
            <w:pPr>
              <w:pStyle w:val="7"/>
              <w:spacing w:before="79" w:line="214" w:lineRule="auto"/>
              <w:ind w:left="131"/>
              <w:jc w:val="center"/>
              <w:rPr>
                <w:spacing w:val="-1"/>
                <w:sz w:val="28"/>
                <w:szCs w:val="28"/>
              </w:rPr>
            </w:pPr>
          </w:p>
          <w:p w14:paraId="1DF25673">
            <w:pPr>
              <w:pStyle w:val="7"/>
              <w:spacing w:before="79" w:line="214" w:lineRule="auto"/>
              <w:ind w:left="131"/>
              <w:jc w:val="center"/>
              <w:rPr>
                <w:spacing w:val="-1"/>
                <w:sz w:val="28"/>
                <w:szCs w:val="28"/>
              </w:rPr>
            </w:pPr>
          </w:p>
          <w:p w14:paraId="5D6349B7">
            <w:pPr>
              <w:pStyle w:val="7"/>
              <w:spacing w:before="79" w:line="214" w:lineRule="auto"/>
              <w:ind w:left="131"/>
              <w:jc w:val="center"/>
              <w:rPr>
                <w:spacing w:val="-1"/>
                <w:sz w:val="28"/>
                <w:szCs w:val="28"/>
              </w:rPr>
            </w:pPr>
          </w:p>
          <w:p w14:paraId="52E1BE8A">
            <w:pPr>
              <w:pStyle w:val="7"/>
              <w:spacing w:before="79" w:line="214" w:lineRule="auto"/>
              <w:ind w:left="131"/>
              <w:jc w:val="center"/>
              <w:rPr>
                <w:spacing w:val="-1"/>
                <w:sz w:val="28"/>
                <w:szCs w:val="28"/>
              </w:rPr>
            </w:pPr>
          </w:p>
          <w:p w14:paraId="42B82B5A">
            <w:pPr>
              <w:pStyle w:val="7"/>
              <w:spacing w:before="79" w:line="214" w:lineRule="auto"/>
              <w:ind w:left="131"/>
              <w:jc w:val="center"/>
              <w:rPr>
                <w:spacing w:val="-1"/>
                <w:sz w:val="28"/>
                <w:szCs w:val="28"/>
              </w:rPr>
            </w:pPr>
            <w:bookmarkStart w:id="0" w:name="_GoBack"/>
            <w:bookmarkEnd w:id="0"/>
            <w:r>
              <w:rPr>
                <w:spacing w:val="-1"/>
                <w:sz w:val="28"/>
                <w:szCs w:val="28"/>
              </w:rPr>
              <w:t xml:space="preserve">本部门法律 </w:t>
            </w:r>
          </w:p>
          <w:p w14:paraId="77F09B57">
            <w:pPr>
              <w:pStyle w:val="7"/>
              <w:spacing w:before="79" w:line="214" w:lineRule="auto"/>
              <w:ind w:left="131"/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普及内容</w:t>
            </w:r>
          </w:p>
        </w:tc>
        <w:tc>
          <w:tcPr>
            <w:tcW w:w="11350" w:type="dxa"/>
            <w:vAlign w:val="top"/>
          </w:tcPr>
          <w:p w14:paraId="7A778BC1">
            <w:pPr>
              <w:pStyle w:val="7"/>
              <w:spacing w:before="79" w:line="214" w:lineRule="auto"/>
              <w:ind w:left="131"/>
              <w:rPr>
                <w:rFonts w:hint="default"/>
                <w:spacing w:val="-1"/>
                <w:sz w:val="28"/>
                <w:szCs w:val="28"/>
                <w:lang w:val="en-US" w:eastAsia="zh-CN"/>
              </w:rPr>
            </w:pPr>
            <w:r>
              <w:rPr>
                <w:spacing w:val="-1"/>
                <w:sz w:val="28"/>
                <w:szCs w:val="28"/>
              </w:rPr>
              <w:t>《中华人民共和国农业法》、《中华人民共和国渔业法》、《中华人民共和国农村土地承包法》、《中华人民共和国农村土地承包经营纠纷调解仲裁法》、《中华人民共和国农民专业合作社法》、《中华人民共和国农业技术推广法》、《中华人民共和国土壤污染防治法》、《中华人民共和国农产品质量安全法》、《中华人民共和国种子法》、《中华人民共和国长江保护法》、《中华人民共和国野生动物保护法》、《中华人民共和国畜牧法》、《中华人民共和国动物防疫法》、《中华人民共和国生物安全法》、《中华人民共和国农业机械化促进法》、《中华人民共和国乡村振兴促进法》、</w:t>
            </w:r>
            <w:r>
              <w:rPr>
                <w:rFonts w:hint="eastAsia"/>
                <w:spacing w:val="-1"/>
                <w:sz w:val="28"/>
                <w:szCs w:val="28"/>
                <w:lang w:eastAsia="zh-CN"/>
              </w:rPr>
              <w:t>《</w:t>
            </w:r>
            <w:r>
              <w:rPr>
                <w:spacing w:val="-1"/>
                <w:sz w:val="28"/>
                <w:szCs w:val="28"/>
              </w:rPr>
              <w:t>中华人民共和国粮食安全保障法</w:t>
            </w:r>
            <w:r>
              <w:rPr>
                <w:rFonts w:hint="eastAsia"/>
                <w:spacing w:val="-1"/>
                <w:sz w:val="28"/>
                <w:szCs w:val="28"/>
                <w:lang w:eastAsia="zh-CN"/>
              </w:rPr>
              <w:t>》、</w:t>
            </w:r>
            <w:r>
              <w:rPr>
                <w:spacing w:val="-1"/>
                <w:sz w:val="28"/>
                <w:szCs w:val="28"/>
              </w:rPr>
              <w:t>《中华人民共和国农业转基因生物安全管理条例》、《中华人民共和国野生植物保护条例》、《中华人民共和国植物新品种保护条例》、《《湖南省农村可再生能源条例》、《基本农田保护条例》、《水产资源繁殖保护条例》、《中华人民共和国水生野生动物保护实施条例》、《农药管理条例》、《植物检疫条例》、《湖南省渔业条例》、《湖南省基本农田保护条例》</w:t>
            </w:r>
            <w:r>
              <w:rPr>
                <w:rFonts w:hint="eastAsia"/>
                <w:spacing w:val="-1"/>
                <w:sz w:val="28"/>
                <w:szCs w:val="28"/>
                <w:lang w:eastAsia="zh-CN"/>
              </w:rPr>
              <w:t>、《</w:t>
            </w:r>
            <w:r>
              <w:rPr>
                <w:spacing w:val="-1"/>
                <w:sz w:val="28"/>
                <w:szCs w:val="28"/>
              </w:rPr>
              <w:t>湖南省生猪屠宰</w:t>
            </w:r>
            <w:r>
              <w:rPr>
                <w:rFonts w:hint="eastAsia"/>
                <w:spacing w:val="-1"/>
                <w:sz w:val="28"/>
                <w:szCs w:val="28"/>
                <w:lang w:val="en-US" w:eastAsia="zh-CN"/>
              </w:rPr>
              <w:t>管理</w:t>
            </w:r>
            <w:r>
              <w:rPr>
                <w:spacing w:val="-1"/>
                <w:sz w:val="28"/>
                <w:szCs w:val="28"/>
              </w:rPr>
              <w:t>条例</w:t>
            </w:r>
            <w:r>
              <w:rPr>
                <w:rFonts w:hint="eastAsia"/>
                <w:spacing w:val="-1"/>
                <w:sz w:val="28"/>
                <w:szCs w:val="28"/>
                <w:lang w:eastAsia="zh-CN"/>
              </w:rPr>
              <w:t>》、《</w:t>
            </w:r>
            <w:r>
              <w:rPr>
                <w:spacing w:val="-1"/>
                <w:sz w:val="28"/>
                <w:szCs w:val="28"/>
              </w:rPr>
              <w:t>中华人民共和国农村集体经济组织法</w:t>
            </w:r>
            <w:r>
              <w:rPr>
                <w:rFonts w:hint="eastAsia"/>
                <w:spacing w:val="-1"/>
                <w:sz w:val="28"/>
                <w:szCs w:val="28"/>
                <w:lang w:eastAsia="zh-CN"/>
              </w:rPr>
              <w:t>》、《</w:t>
            </w:r>
            <w:r>
              <w:rPr>
                <w:spacing w:val="-1"/>
                <w:sz w:val="28"/>
                <w:szCs w:val="28"/>
              </w:rPr>
              <w:t>湖南省居民自建房安全管理若干规定</w:t>
            </w:r>
            <w:r>
              <w:rPr>
                <w:rFonts w:hint="eastAsia"/>
                <w:spacing w:val="-1"/>
                <w:sz w:val="28"/>
                <w:szCs w:val="28"/>
                <w:lang w:eastAsia="zh-CN"/>
              </w:rPr>
              <w:t>》、《</w:t>
            </w:r>
            <w:r>
              <w:rPr>
                <w:spacing w:val="-1"/>
                <w:sz w:val="28"/>
                <w:szCs w:val="28"/>
              </w:rPr>
              <w:t>湖南省农村住房建设管理办法</w:t>
            </w:r>
            <w:r>
              <w:rPr>
                <w:rFonts w:hint="eastAsia"/>
                <w:spacing w:val="-1"/>
                <w:sz w:val="28"/>
                <w:szCs w:val="28"/>
                <w:lang w:eastAsia="zh-CN"/>
              </w:rPr>
              <w:t>》</w:t>
            </w:r>
            <w:r>
              <w:rPr>
                <w:spacing w:val="-1"/>
                <w:sz w:val="28"/>
                <w:szCs w:val="28"/>
              </w:rPr>
              <w:t>。</w:t>
            </w:r>
          </w:p>
        </w:tc>
      </w:tr>
      <w:tr w14:paraId="0A5171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  <w:jc w:val="center"/>
        </w:trPr>
        <w:tc>
          <w:tcPr>
            <w:tcW w:w="2236" w:type="dxa"/>
            <w:vAlign w:val="top"/>
          </w:tcPr>
          <w:p w14:paraId="4183DC2B">
            <w:pPr>
              <w:pStyle w:val="7"/>
              <w:spacing w:before="79" w:line="214" w:lineRule="auto"/>
              <w:ind w:left="131"/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 xml:space="preserve">本单位  </w:t>
            </w:r>
          </w:p>
          <w:p w14:paraId="0B6F5415">
            <w:pPr>
              <w:pStyle w:val="7"/>
              <w:spacing w:before="79" w:line="214" w:lineRule="auto"/>
              <w:ind w:left="131"/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普法平台</w:t>
            </w:r>
          </w:p>
        </w:tc>
        <w:tc>
          <w:tcPr>
            <w:tcW w:w="11350" w:type="dxa"/>
            <w:vAlign w:val="top"/>
          </w:tcPr>
          <w:p w14:paraId="2AC0A57B">
            <w:pPr>
              <w:pStyle w:val="7"/>
              <w:spacing w:before="338" w:line="219" w:lineRule="auto"/>
              <w:ind w:left="131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局网站</w:t>
            </w:r>
          </w:p>
        </w:tc>
      </w:tr>
      <w:tr w14:paraId="22737E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2236" w:type="dxa"/>
            <w:vMerge w:val="restart"/>
            <w:tcBorders>
              <w:bottom w:val="nil"/>
            </w:tcBorders>
            <w:vAlign w:val="top"/>
          </w:tcPr>
          <w:p w14:paraId="14644CB7">
            <w:pPr>
              <w:pStyle w:val="7"/>
              <w:spacing w:before="79" w:line="214" w:lineRule="auto"/>
              <w:ind w:left="131"/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责任领导、</w:t>
            </w:r>
          </w:p>
          <w:p w14:paraId="274BD191">
            <w:pPr>
              <w:pStyle w:val="7"/>
              <w:spacing w:before="79" w:line="214" w:lineRule="auto"/>
              <w:ind w:left="131"/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部门及普法</w:t>
            </w:r>
          </w:p>
          <w:p w14:paraId="392336F5">
            <w:pPr>
              <w:pStyle w:val="7"/>
              <w:spacing w:before="79" w:line="214" w:lineRule="auto"/>
              <w:ind w:left="131"/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联络员</w:t>
            </w:r>
          </w:p>
        </w:tc>
        <w:tc>
          <w:tcPr>
            <w:tcW w:w="11350" w:type="dxa"/>
            <w:vAlign w:val="top"/>
          </w:tcPr>
          <w:p w14:paraId="3CEDBCFA">
            <w:pPr>
              <w:pStyle w:val="7"/>
              <w:spacing w:before="79" w:line="214" w:lineRule="auto"/>
              <w:ind w:left="131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spacing w:val="-1"/>
                <w:sz w:val="28"/>
                <w:szCs w:val="28"/>
              </w:rPr>
              <w:t>分管领导：</w:t>
            </w:r>
            <w:r>
              <w:rPr>
                <w:rFonts w:hint="eastAsia"/>
                <w:spacing w:val="-1"/>
                <w:sz w:val="28"/>
                <w:szCs w:val="28"/>
                <w:lang w:val="en-US" w:eastAsia="zh-CN"/>
              </w:rPr>
              <w:t>盘先全</w:t>
            </w:r>
          </w:p>
        </w:tc>
      </w:tr>
      <w:tr w14:paraId="3C1E5A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  <w:jc w:val="center"/>
        </w:trPr>
        <w:tc>
          <w:tcPr>
            <w:tcW w:w="2236" w:type="dxa"/>
            <w:vMerge w:val="continue"/>
            <w:tcBorders>
              <w:top w:val="nil"/>
              <w:bottom w:val="nil"/>
            </w:tcBorders>
            <w:vAlign w:val="top"/>
          </w:tcPr>
          <w:p w14:paraId="11879F23">
            <w:pPr>
              <w:rPr>
                <w:rFonts w:ascii="Arial"/>
                <w:sz w:val="21"/>
              </w:rPr>
            </w:pPr>
          </w:p>
        </w:tc>
        <w:tc>
          <w:tcPr>
            <w:tcW w:w="11350" w:type="dxa"/>
            <w:vAlign w:val="top"/>
          </w:tcPr>
          <w:p w14:paraId="1F160A9E">
            <w:pPr>
              <w:pStyle w:val="7"/>
              <w:spacing w:before="111" w:line="219" w:lineRule="auto"/>
              <w:ind w:left="131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spacing w:val="-1"/>
                <w:sz w:val="28"/>
                <w:szCs w:val="28"/>
              </w:rPr>
              <w:t>责任部门：</w:t>
            </w:r>
            <w:r>
              <w:rPr>
                <w:rFonts w:hint="eastAsia"/>
                <w:spacing w:val="-1"/>
                <w:sz w:val="28"/>
                <w:szCs w:val="28"/>
                <w:lang w:val="en-US" w:eastAsia="zh-CN"/>
              </w:rPr>
              <w:t>双牌县农业农村局</w:t>
            </w:r>
          </w:p>
        </w:tc>
      </w:tr>
      <w:tr w14:paraId="4DF9B8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  <w:jc w:val="center"/>
        </w:trPr>
        <w:tc>
          <w:tcPr>
            <w:tcW w:w="2236" w:type="dxa"/>
            <w:vMerge w:val="continue"/>
            <w:tcBorders>
              <w:top w:val="nil"/>
            </w:tcBorders>
            <w:vAlign w:val="top"/>
          </w:tcPr>
          <w:p w14:paraId="52CBF517">
            <w:pPr>
              <w:rPr>
                <w:rFonts w:ascii="Arial"/>
                <w:sz w:val="21"/>
              </w:rPr>
            </w:pPr>
          </w:p>
        </w:tc>
        <w:tc>
          <w:tcPr>
            <w:tcW w:w="11350" w:type="dxa"/>
            <w:vAlign w:val="top"/>
          </w:tcPr>
          <w:p w14:paraId="695571F9">
            <w:pPr>
              <w:pStyle w:val="7"/>
              <w:spacing w:before="92" w:line="219" w:lineRule="auto"/>
              <w:ind w:left="131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spacing w:val="-1"/>
                <w:sz w:val="28"/>
                <w:szCs w:val="28"/>
              </w:rPr>
              <w:t>普法联络员：</w:t>
            </w:r>
            <w:r>
              <w:rPr>
                <w:rFonts w:hint="eastAsia"/>
                <w:spacing w:val="-1"/>
                <w:sz w:val="28"/>
                <w:szCs w:val="28"/>
                <w:lang w:val="en-US" w:eastAsia="zh-CN"/>
              </w:rPr>
              <w:t>黄薇</w:t>
            </w:r>
          </w:p>
        </w:tc>
      </w:tr>
    </w:tbl>
    <w:p w14:paraId="2A009E71">
      <w:pPr>
        <w:pStyle w:val="2"/>
        <w:spacing w:before="182" w:line="221" w:lineRule="auto"/>
        <w:rPr>
          <w:sz w:val="31"/>
          <w:szCs w:val="31"/>
        </w:rPr>
      </w:pPr>
    </w:p>
    <w:sectPr>
      <w:footerReference r:id="rId5" w:type="default"/>
      <w:pgSz w:w="16830" w:h="11900"/>
      <w:pgMar w:top="1011" w:right="1414" w:bottom="400" w:left="139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8FC2BD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DhlOTQ0MjljNTNjYzdkNjFmOWNkOGJlZDc3NmRmY2QifQ=="/>
    <w:docVar w:name="KSO_WPS_MARK_KEY" w:val="52990767-45f7-4a36-be6f-7153462d9630"/>
  </w:docVars>
  <w:rsids>
    <w:rsidRoot w:val="00000000"/>
    <w:rsid w:val="001A64C4"/>
    <w:rsid w:val="071719AF"/>
    <w:rsid w:val="08FD2E27"/>
    <w:rsid w:val="0AE919B8"/>
    <w:rsid w:val="158A6533"/>
    <w:rsid w:val="1AB33C6D"/>
    <w:rsid w:val="24523BCF"/>
    <w:rsid w:val="2661634B"/>
    <w:rsid w:val="2B3204A1"/>
    <w:rsid w:val="327D3ABE"/>
    <w:rsid w:val="34D67987"/>
    <w:rsid w:val="35093AFE"/>
    <w:rsid w:val="360E56A7"/>
    <w:rsid w:val="36211653"/>
    <w:rsid w:val="3A0D43C8"/>
    <w:rsid w:val="3C81753D"/>
    <w:rsid w:val="40025D9D"/>
    <w:rsid w:val="48F471FD"/>
    <w:rsid w:val="4DD23507"/>
    <w:rsid w:val="4EC340C0"/>
    <w:rsid w:val="5C8D7D43"/>
    <w:rsid w:val="60095DC3"/>
    <w:rsid w:val="67120445"/>
    <w:rsid w:val="6A8B6AC0"/>
    <w:rsid w:val="733E5702"/>
    <w:rsid w:val="7A6D2D8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character" w:styleId="5">
    <w:name w:val="Strong"/>
    <w:basedOn w:val="4"/>
    <w:qFormat/>
    <w:uiPriority w:val="0"/>
    <w:rPr>
      <w:b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730</Words>
  <Characters>733</Characters>
  <TotalTime>14</TotalTime>
  <ScaleCrop>false</ScaleCrop>
  <LinksUpToDate>false</LinksUpToDate>
  <CharactersWithSpaces>737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2025-04-27T16:01:00Z</dcterms:created>
  <dc:creator>Administrator</dc:creator>
  <cp:lastModifiedBy>追梦赤子心</cp:lastModifiedBy>
  <cp:lastPrinted>2025-06-09T06:50:00Z</cp:lastPrinted>
  <dcterms:modified xsi:type="dcterms:W3CDTF">2026-07-29T03:07:28Z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2025-04-27T16:01:55Z</vt:filetime>
  </property>
  <property fmtid="{D5CDD505-2E9C-101B-9397-08002B2CF9AE}" pid="4" name="UsrData">
    <vt:lpwstr>680de46d1087f5001f0b0527wl</vt:lpwstr>
  </property>
  <property fmtid="{D5CDD505-2E9C-101B-9397-08002B2CF9AE}" pid="5" name="KSOProductBuildVer">
    <vt:lpwstr>2052-12.1.0.26895</vt:lpwstr>
  </property>
  <property fmtid="{D5CDD505-2E9C-101B-9397-08002B2CF9AE}" pid="6" name="ICV">
    <vt:lpwstr>AF96985BEDFE4B6780B0E8451061FD1E_13</vt:lpwstr>
  </property>
  <property fmtid="{D5CDD505-2E9C-101B-9397-08002B2CF9AE}" pid="7" name="KSOTemplateDocerSaveRecord">
    <vt:lpwstr>eyJoZGlkIjoiZmExMjRmMzI0MjZkMmEyNGE2MWY0YWUxMWFmOTEzZGUiLCJ1c2VySWQiOiI0MjI0NTE2NjgifQ==</vt:lpwstr>
  </property>
</Properties>
</file>