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i/>
          <w:snapToGrid w:val="0"/>
          <w:sz w:val="32"/>
          <w:szCs w:val="32"/>
        </w:rPr>
      </w:pPr>
      <w:r>
        <w:rPr>
          <w:rFonts w:ascii="仿宋_GB2312" w:eastAsia="仿宋_GB2312"/>
          <w:i/>
          <w:sz w:val="32"/>
          <w:szCs w:val="32"/>
        </w:rPr>
        <w:pict>
          <v:shape id="_x0000_s1026" o:spid="_x0000_s1026" o:spt="202" type="#_x0000_t202" style="position:absolute;left:0pt;margin-left:-5.25pt;margin-top:-41.9pt;height:39pt;width:171pt;z-index:251658240;mso-width-relative:page;mso-height-relative:page;" stroked="f" coordsize="21600,21600">
            <v:path/>
            <v:fill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 xml:space="preserve"> SPDR-2020-01002</w:t>
                  </w:r>
                </w:p>
              </w:txbxContent>
            </v:textbox>
          </v:shape>
        </w:pict>
      </w:r>
    </w:p>
    <w:p>
      <w:pPr>
        <w:spacing w:line="580" w:lineRule="exact"/>
        <w:jc w:val="center"/>
        <w:rPr>
          <w:rFonts w:eastAsia="方正仿宋简体"/>
          <w:i/>
          <w:snapToGrid w:val="0"/>
          <w:sz w:val="32"/>
          <w:szCs w:val="32"/>
        </w:rPr>
      </w:pPr>
    </w:p>
    <w:p>
      <w:pPr>
        <w:spacing w:line="580" w:lineRule="exact"/>
        <w:jc w:val="center"/>
        <w:rPr>
          <w:rFonts w:eastAsia="方正仿宋简体"/>
          <w:i/>
          <w:snapToGrid w:val="0"/>
          <w:sz w:val="32"/>
          <w:szCs w:val="32"/>
        </w:rPr>
      </w:pPr>
    </w:p>
    <w:p>
      <w:pPr>
        <w:spacing w:line="580" w:lineRule="exact"/>
        <w:jc w:val="center"/>
        <w:rPr>
          <w:rFonts w:eastAsia="方正仿宋简体"/>
          <w:snapToGrid w:val="0"/>
          <w:sz w:val="32"/>
          <w:szCs w:val="32"/>
        </w:rPr>
      </w:pPr>
    </w:p>
    <w:p>
      <w:pPr>
        <w:spacing w:line="580" w:lineRule="exact"/>
        <w:jc w:val="center"/>
        <w:rPr>
          <w:rFonts w:eastAsia="方正仿宋简体"/>
          <w:snapToGrid w:val="0"/>
          <w:sz w:val="32"/>
          <w:szCs w:val="32"/>
        </w:rPr>
      </w:pPr>
    </w:p>
    <w:p>
      <w:pPr>
        <w:spacing w:line="760" w:lineRule="exact"/>
        <w:jc w:val="center"/>
        <w:rPr>
          <w:rFonts w:eastAsia="方正仿宋简体"/>
          <w:snapToGrid w:val="0"/>
          <w:sz w:val="32"/>
          <w:szCs w:val="32"/>
        </w:rPr>
      </w:pPr>
    </w:p>
    <w:p>
      <w:pPr>
        <w:spacing w:line="540" w:lineRule="exact"/>
        <w:jc w:val="center"/>
        <w:rPr>
          <w:rFonts w:eastAsia="仿宋_GB2312"/>
          <w:snapToGrid w:val="0"/>
          <w:position w:val="4"/>
          <w:sz w:val="32"/>
          <w:szCs w:val="32"/>
        </w:rPr>
      </w:pPr>
      <w:r>
        <w:rPr>
          <w:rFonts w:eastAsia="仿宋_GB2312"/>
          <w:snapToGrid w:val="0"/>
          <w:position w:val="4"/>
          <w:sz w:val="32"/>
          <w:szCs w:val="32"/>
        </w:rPr>
        <w:t>双政办发〔</w:t>
      </w:r>
      <w:r>
        <w:rPr>
          <w:rFonts w:hint="eastAsia" w:ascii="仿宋_GB2312" w:eastAsia="仿宋_GB2312"/>
          <w:snapToGrid w:val="0"/>
          <w:position w:val="4"/>
          <w:sz w:val="32"/>
          <w:szCs w:val="32"/>
        </w:rPr>
        <w:t>2020</w:t>
      </w:r>
      <w:r>
        <w:rPr>
          <w:rFonts w:ascii="仿宋_GB2312" w:eastAsia="仿宋_GB2312"/>
          <w:snapToGrid w:val="0"/>
          <w:position w:val="4"/>
          <w:sz w:val="32"/>
          <w:szCs w:val="32"/>
        </w:rPr>
        <w:t>〕</w:t>
      </w:r>
      <w:r>
        <w:rPr>
          <w:rFonts w:hint="eastAsia" w:ascii="仿宋_GB2312" w:eastAsia="仿宋_GB2312"/>
          <w:snapToGrid w:val="0"/>
          <w:position w:val="4"/>
          <w:sz w:val="32"/>
          <w:szCs w:val="32"/>
        </w:rPr>
        <w:t>2</w:t>
      </w:r>
      <w:r>
        <w:rPr>
          <w:rFonts w:ascii="仿宋_GB2312" w:eastAsia="仿宋_GB2312"/>
          <w:snapToGrid w:val="0"/>
          <w:position w:val="4"/>
          <w:sz w:val="32"/>
          <w:szCs w:val="32"/>
        </w:rPr>
        <w:t>号</w:t>
      </w:r>
    </w:p>
    <w:p>
      <w:pPr>
        <w:spacing w:line="440" w:lineRule="exact"/>
        <w:rPr>
          <w:rFonts w:ascii="仿宋_GB2312" w:hAnsi="方正大标宋简体" w:eastAsia="仿宋_GB2312"/>
          <w:bCs/>
          <w:snapToGrid w:val="0"/>
          <w:sz w:val="32"/>
          <w:szCs w:val="32"/>
        </w:rPr>
      </w:pPr>
    </w:p>
    <w:p>
      <w:pPr>
        <w:spacing w:line="260" w:lineRule="exact"/>
        <w:jc w:val="center"/>
        <w:rPr>
          <w:rFonts w:ascii="方正大标宋简体" w:eastAsia="方正大标宋简体"/>
          <w:sz w:val="32"/>
          <w:szCs w:val="32"/>
        </w:rPr>
      </w:pPr>
    </w:p>
    <w:p>
      <w:pPr>
        <w:spacing w:line="600" w:lineRule="exact"/>
        <w:jc w:val="center"/>
        <w:rPr>
          <w:rFonts w:ascii="方正大标宋_GBK" w:hAnsi="方正小标宋_GBK" w:eastAsia="方正大标宋_GBK" w:cs="方正小标宋_GBK"/>
          <w:sz w:val="40"/>
          <w:szCs w:val="40"/>
        </w:rPr>
      </w:pPr>
      <w:r>
        <w:rPr>
          <w:rFonts w:hint="eastAsia" w:ascii="方正大标宋_GBK" w:hAnsi="方正小标宋_GBK" w:eastAsia="方正大标宋_GBK" w:cs="方正小标宋_GBK"/>
          <w:sz w:val="40"/>
          <w:szCs w:val="40"/>
        </w:rPr>
        <w:t>双牌县人民政府办公室</w:t>
      </w:r>
    </w:p>
    <w:p>
      <w:pPr>
        <w:spacing w:line="600" w:lineRule="exact"/>
        <w:jc w:val="center"/>
        <w:rPr>
          <w:rFonts w:hint="eastAsia" w:ascii="方正大标宋_GBK" w:hAnsi="方正小标宋_GBK" w:eastAsia="方正大标宋_GBK" w:cs="方正小标宋_GBK"/>
          <w:sz w:val="40"/>
          <w:szCs w:val="40"/>
        </w:rPr>
      </w:pPr>
      <w:r>
        <w:rPr>
          <w:rFonts w:hint="eastAsia" w:ascii="方正大标宋_GBK" w:hAnsi="方正小标宋_GBK" w:eastAsia="方正大标宋_GBK" w:cs="方正小标宋_GBK"/>
          <w:sz w:val="40"/>
          <w:szCs w:val="40"/>
        </w:rPr>
        <w:t>关于印发《双牌县畜禽规模养殖“三区”划定</w:t>
      </w:r>
    </w:p>
    <w:p>
      <w:pPr>
        <w:spacing w:line="600" w:lineRule="exact"/>
        <w:jc w:val="center"/>
        <w:rPr>
          <w:rFonts w:ascii="方正大标宋_GBK" w:hAnsi="方正小标宋_GBK" w:eastAsia="方正大标宋_GBK" w:cs="方正小标宋_GBK"/>
          <w:sz w:val="40"/>
          <w:szCs w:val="40"/>
        </w:rPr>
      </w:pPr>
      <w:r>
        <w:rPr>
          <w:rFonts w:hint="eastAsia" w:ascii="方正大标宋_GBK" w:hAnsi="方正小标宋_GBK" w:eastAsia="方正大标宋_GBK" w:cs="方正小标宋_GBK"/>
          <w:sz w:val="40"/>
          <w:szCs w:val="40"/>
        </w:rPr>
        <w:t>工作方案》的通知</w:t>
      </w:r>
    </w:p>
    <w:p>
      <w:pPr>
        <w:pStyle w:val="30"/>
        <w:spacing w:line="600" w:lineRule="exact"/>
        <w:ind w:firstLine="0" w:firstLineChars="0"/>
        <w:jc w:val="both"/>
        <w:rPr>
          <w:rFonts w:hint="eastAsia" w:ascii="仿宋_GB2312" w:eastAsia="仿宋_GB2312"/>
          <w:color w:val="000000" w:themeColor="text1"/>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各乡镇人民政府，阳明山管理局，县直各相关单位：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《双牌县畜禽规模养殖“三区”划定工作方案》已经县人民政府研究同意，现予印发，请认真贯彻落实。</w:t>
      </w:r>
    </w:p>
    <w:p>
      <w:pPr>
        <w:pStyle w:val="54"/>
        <w:spacing w:before="0" w:beforeAutospacing="0" w:after="0" w:afterAutospacing="0" w:line="640" w:lineRule="exact"/>
        <w:rPr>
          <w:rFonts w:ascii="仿宋_GB2312" w:hAnsi="仿宋_GB2312" w:eastAsia="仿宋_GB2312" w:cs="仿宋_GB2312"/>
          <w:sz w:val="32"/>
          <w:szCs w:val="32"/>
        </w:rPr>
      </w:pPr>
    </w:p>
    <w:p>
      <w:pPr>
        <w:pStyle w:val="54"/>
        <w:spacing w:before="0" w:beforeAutospacing="0" w:after="0" w:afterAutospacing="0" w:line="640" w:lineRule="exact"/>
        <w:rPr>
          <w:rFonts w:ascii="仿宋_GB2312" w:hAnsi="仿宋_GB2312" w:eastAsia="仿宋_GB2312" w:cs="仿宋_GB2312"/>
          <w:sz w:val="32"/>
          <w:szCs w:val="32"/>
        </w:rPr>
      </w:pPr>
    </w:p>
    <w:p>
      <w:pPr>
        <w:pStyle w:val="54"/>
        <w:wordWrap w:val="0"/>
        <w:spacing w:before="0" w:beforeAutospacing="0" w:after="0" w:afterAutospacing="0" w:line="640" w:lineRule="exact"/>
        <w:ind w:right="64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双牌县人民政府办公室</w:t>
      </w:r>
    </w:p>
    <w:p>
      <w:pPr>
        <w:pStyle w:val="54"/>
        <w:spacing w:before="0" w:beforeAutospacing="0" w:after="0" w:afterAutospacing="0" w:line="640" w:lineRule="exact"/>
        <w:ind w:right="640"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2020年2月27日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600" w:lineRule="exact"/>
        <w:jc w:val="center"/>
        <w:rPr>
          <w:rFonts w:hint="eastAsia" w:ascii="方正大标宋_GBK" w:hAnsi="方正小标宋_GBK" w:eastAsia="方正大标宋_GBK" w:cs="方正小标宋_GBK"/>
          <w:sz w:val="40"/>
          <w:szCs w:val="40"/>
        </w:rPr>
      </w:pPr>
      <w:r>
        <w:rPr>
          <w:rFonts w:hint="eastAsia" w:ascii="方正大标宋_GBK" w:hAnsi="方正小标宋_GBK" w:eastAsia="方正大标宋_GBK" w:cs="方正小标宋_GBK"/>
          <w:sz w:val="40"/>
          <w:szCs w:val="40"/>
        </w:rPr>
        <w:t>双牌县畜禽规模养殖“三区”划定</w:t>
      </w:r>
    </w:p>
    <w:p>
      <w:pPr>
        <w:pStyle w:val="30"/>
        <w:spacing w:line="600" w:lineRule="exact"/>
        <w:ind w:firstLine="0" w:firstLineChars="0"/>
        <w:jc w:val="center"/>
        <w:rPr>
          <w:rFonts w:hint="eastAsia" w:ascii="仿宋_GB2312" w:eastAsia="仿宋_GB2312"/>
          <w:color w:val="000000" w:themeColor="text1"/>
          <w:sz w:val="32"/>
          <w:szCs w:val="32"/>
        </w:rPr>
      </w:pPr>
      <w:r>
        <w:rPr>
          <w:rFonts w:hint="eastAsia" w:ascii="方正大标宋_GBK" w:hAnsi="方正小标宋_GBK" w:eastAsia="方正大标宋_GBK" w:cs="方正小标宋_GBK"/>
          <w:sz w:val="40"/>
          <w:szCs w:val="40"/>
        </w:rPr>
        <w:t>工作方案</w:t>
      </w:r>
    </w:p>
    <w:p>
      <w:pPr>
        <w:pStyle w:val="30"/>
        <w:spacing w:line="600" w:lineRule="exact"/>
        <w:ind w:firstLine="640"/>
        <w:jc w:val="both"/>
        <w:rPr>
          <w:rFonts w:hint="eastAsia" w:ascii="仿宋_GB2312" w:eastAsia="仿宋_GB2312"/>
          <w:color w:val="000000" w:themeColor="text1"/>
          <w:sz w:val="32"/>
          <w:szCs w:val="32"/>
        </w:rPr>
      </w:pP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为合理布局养殖区域，从源头上控制畜禽养殖的污染，促进畜禽养殖业持续健康发展，根据《中华人民共和国环境保护法》、《中华人民共和国畜牧法》、《畜禽规模养殖污染防治条例》、《湖南省畜禽规模养殖污染防治规定》，按照畜禽养殖“预防为主、防治结合”的布局原则，结合双牌县实际情况，特制定本方案。</w:t>
      </w:r>
      <w:bookmarkStart w:id="0" w:name="_Toc27478"/>
    </w:p>
    <w:p>
      <w:pPr>
        <w:pStyle w:val="30"/>
        <w:spacing w:line="60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一、指导思想</w:t>
      </w:r>
      <w:bookmarkEnd w:id="0"/>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坚持以习近平新时代中国特色社会主义思想为指导，以富民强县、实现经济可持续发展、构建和谐社会为目标，以国家和地方环境保护法律、法规为依据，以畜禽养殖业可持续发展和改善农村生态环境质量为切入点，结合我县生态建设要求，调整优化全县畜禽养殖业的生产布局，开展畜禽养殖污染综合防治，改善生态环境质量，保障人民群众身体健康，实现畜禽养殖废物减量化、无害化、资源化和生态化，促进畜牧业生产与生态环境全面协调发展。</w:t>
      </w:r>
      <w:bookmarkStart w:id="1" w:name="_Toc15702"/>
    </w:p>
    <w:p>
      <w:pPr>
        <w:pStyle w:val="30"/>
        <w:spacing w:line="60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二、划定依据</w:t>
      </w:r>
      <w:bookmarkEnd w:id="1"/>
    </w:p>
    <w:p>
      <w:pPr>
        <w:pStyle w:val="30"/>
        <w:numPr>
          <w:ilvl w:val="0"/>
          <w:numId w:val="2"/>
        </w:numPr>
        <w:spacing w:line="600" w:lineRule="exact"/>
        <w:ind w:firstLineChars="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相关法律、法规</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1.《中华人民共和国环境保护法》；</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2.《中华人民共和国畜牧法》；</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3.《中华人民共和国水污染防治法》；</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4.《中华人民共和国大气污染防治法》；</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5.《中华人民共和国固体废物污染环境防治法》；</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6.《中华人民共和国环境影响评价法》；</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7.《中华人民共和国森林法》；</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8.《畜禽规模养殖污染防治条例》；</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9.《湖南省饮用水源保护条例》；</w:t>
      </w:r>
    </w:p>
    <w:p>
      <w:pPr>
        <w:pStyle w:val="30"/>
        <w:spacing w:line="580" w:lineRule="exact"/>
        <w:ind w:firstLine="643"/>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（二）相关政策、技术规范及规范性文件</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10.《国务院关于促进畜牧业持续健康发展的意见》（国发〔2007〕4号）；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11.《湖南省畜禽规模养殖污染防治规定》（湘政办发〔2017〕29号）。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12.《国务院关于印发水污染防治行动计划的通知》（国发〔2015〕17号）；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13.《动物防疫条件审查办法》（农业部令2010第7号）；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14.《建设项目环境影响评价分类管理名录》（中华人民共和国环境保护部令第44号）和《关于修改〈建设项目环境影响评价分类管理名录〉部分内容的决定》（中华人民共和国生态环境部令第1号）；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15.《环境保护部农业部关于进一步加强畜禽养殖污染防治工作的通知》（环水体〔2016〕144号）；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16.《畜禽养殖禁养区划定技术指南》（环办水体〔2016〕99号）；</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17.《饮用水水源保护区划分技术规范》（HJ338-2018）；</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18.《湖南省集中式饮用水水源保护区划分工作指南》（湘环函〔2016〕196号）；</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19.湖南</w:t>
      </w:r>
      <w:r>
        <w:rPr>
          <w:rFonts w:hint="eastAsia" w:ascii="仿宋_GB2312" w:eastAsia="仿宋_GB2312"/>
          <w:color w:val="000000" w:themeColor="text1"/>
          <w:spacing w:val="-4"/>
          <w:sz w:val="32"/>
          <w:szCs w:val="32"/>
        </w:rPr>
        <w:t>省人民政府《关于公布&lt;湖南省县级以上地表水集中式饮用水源保护区划定方案&gt;的通知》（湘政函〔2016〕176号）；</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20.生态环境部办公厅、农业农村部办公厅《关于进一步规范畜禽养殖禁养区划定和管理促进生猪生产发展的通知》（环办土壤〔2019〕55号）；</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21.《湖南省生态环境厅湖南省农业农村厅关于进一步规范我省畜禽养殖禁养区划定和管理工作的通知》</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湘环函〔2019〕189号</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22.《湖南省生态环境厅 湖南省农业农村厅 关于印发&lt;湖南省畜禽养殖禁养区划定情况排查整治工作要点&gt;的通知》；</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23.《永州市城市总体规划（2001-2020）（2018年修改）》；</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24.双牌县畜牧水产事务中心提供的其他相关资料。</w:t>
      </w:r>
      <w:bookmarkStart w:id="2" w:name="_Toc6557"/>
    </w:p>
    <w:p>
      <w:pPr>
        <w:pStyle w:val="30"/>
        <w:spacing w:line="60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三、划定原则</w:t>
      </w:r>
      <w:bookmarkEnd w:id="2"/>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（一）统筹规划原则。</w:t>
      </w:r>
      <w:r>
        <w:rPr>
          <w:rFonts w:hint="eastAsia" w:ascii="仿宋_GB2312" w:eastAsia="仿宋_GB2312"/>
          <w:color w:val="000000" w:themeColor="text1"/>
          <w:sz w:val="32"/>
          <w:szCs w:val="32"/>
        </w:rPr>
        <w:t>统筹划定畜禽养殖禁养区、限养区和适养区，并根据不同养殖区逐步开展整治工作。</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（二）因地制宜原则。</w:t>
      </w:r>
      <w:r>
        <w:rPr>
          <w:rFonts w:hint="eastAsia" w:ascii="仿宋_GB2312" w:eastAsia="仿宋_GB2312"/>
          <w:color w:val="000000" w:themeColor="text1"/>
          <w:sz w:val="32"/>
          <w:szCs w:val="32"/>
        </w:rPr>
        <w:t>根据当地经济社会发展水平、技术水平、管理水平和环境保护的需要，因地制宜划定畜禽养殖禁养区、限养区以及适养区。</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（三）可持续发展原则。</w:t>
      </w:r>
      <w:r>
        <w:rPr>
          <w:rFonts w:hint="eastAsia" w:ascii="仿宋_GB2312" w:eastAsia="仿宋_GB2312"/>
          <w:color w:val="000000" w:themeColor="text1"/>
          <w:sz w:val="32"/>
          <w:szCs w:val="32"/>
        </w:rPr>
        <w:t>养殖区划分应考虑环境容量和资源承载力，坚持发展与保护并重，实现资源环境效益、经济效益和社会效益的统一。</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（四）划定从严原则。</w:t>
      </w:r>
      <w:r>
        <w:rPr>
          <w:rFonts w:hint="eastAsia" w:ascii="仿宋_GB2312" w:eastAsia="仿宋_GB2312"/>
          <w:color w:val="000000" w:themeColor="text1"/>
          <w:sz w:val="32"/>
          <w:szCs w:val="32"/>
        </w:rPr>
        <w:t>同一区域属于不同畜禽养殖区域类型时，则按照要求较严者（禁养区严于限养区、限养区严于适养区）作为该区域的畜禽规模养殖划定类型。</w:t>
      </w:r>
      <w:bookmarkStart w:id="3" w:name="_Toc13733"/>
    </w:p>
    <w:p>
      <w:pPr>
        <w:pStyle w:val="30"/>
        <w:spacing w:line="60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四、划定类型</w:t>
      </w:r>
      <w:bookmarkEnd w:id="3"/>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实行畜禽养殖区域分类管理，划分为畜禽规模养殖禁养区（以下简称禁养区）、畜禽规模养殖限养区（以下简称限养区）和畜禽规模养殖适养区（以下简称适养区）三大类型。</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（一）禁养区：</w:t>
      </w:r>
      <w:r>
        <w:rPr>
          <w:rFonts w:hint="eastAsia" w:ascii="仿宋_GB2312" w:eastAsia="仿宋_GB2312"/>
          <w:color w:val="000000" w:themeColor="text1"/>
          <w:sz w:val="32"/>
          <w:szCs w:val="32"/>
        </w:rPr>
        <w:t>指区（县）级以上地方人民政府依法划定的禁止建设畜禽规模养殖场或禁止建设有污染物排放的规模养殖场区域。按照法律、法规、行政规章等规定，禁养区内严禁新建、改扩建规模养殖场及非规模养殖场，禁养区内现有不符合要求的规模养殖场及非规模养殖场应当由当地人民政府在规定时限内依法关停或搬迁。</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（二）限养区：</w:t>
      </w:r>
      <w:r>
        <w:rPr>
          <w:rFonts w:hint="eastAsia" w:ascii="仿宋_GB2312" w:eastAsia="仿宋_GB2312"/>
          <w:color w:val="000000" w:themeColor="text1"/>
          <w:sz w:val="32"/>
          <w:szCs w:val="32"/>
        </w:rPr>
        <w:t>指按照法律法规及相关文件规定，根据城乡发展规划和区域污染物排放总量控制要求，在一定区域内限定畜禽规模养殖数量和规模。在限养区域范围内新、扩建畜禽规模养殖场需经相关部门审批同意方可建设。对超过规定排放标准或排放总量指标，排放污染物或造成周围环境严重污染的畜禽规模养殖场，由区（县）级以上人民政府环境保护主管部门责令限期治理。无法完成限期治理的，由县级人民政府依法处理。</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（三）适养区：</w:t>
      </w:r>
      <w:r>
        <w:rPr>
          <w:rFonts w:hint="eastAsia" w:ascii="仿宋_GB2312" w:eastAsia="仿宋_GB2312"/>
          <w:color w:val="000000" w:themeColor="text1"/>
          <w:sz w:val="32"/>
          <w:szCs w:val="32"/>
        </w:rPr>
        <w:t>指除禁养区、限养区以外的区域，均可作为畜禽规模养殖适养区。在畜禽规模养殖适养区内从事畜禽规模养殖的，应当遵守国家有关建设项目环境保护管理、国土空间规划、用途管制和建设规划等规定，开展环境影响评价，其污染防治措施及畜禽排泄物综合利用措施必须与主体工程同时设计、同时施工、同时投产使用，其污染物排放不得超过国家和地方规定的排放标准和总量控制要求。</w:t>
      </w:r>
    </w:p>
    <w:p>
      <w:pPr>
        <w:pStyle w:val="30"/>
        <w:spacing w:line="60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（四）养殖规模划分标准：</w:t>
      </w:r>
      <w:r>
        <w:rPr>
          <w:rFonts w:hint="eastAsia" w:ascii="仿宋_GB2312" w:eastAsia="仿宋_GB2312"/>
          <w:color w:val="000000" w:themeColor="text1"/>
          <w:sz w:val="32"/>
          <w:szCs w:val="32"/>
        </w:rPr>
        <w:t>畜禽养殖场、养殖小区是指达到省级人民政府确定的养殖规模标准的畜禽集中饲养场所（以下简称养殖场），划分标准详见附件1。</w:t>
      </w:r>
      <w:bookmarkStart w:id="4" w:name="_Toc6117"/>
    </w:p>
    <w:p>
      <w:pPr>
        <w:pStyle w:val="30"/>
        <w:spacing w:line="60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五、划定区域</w:t>
      </w:r>
      <w:bookmarkEnd w:id="4"/>
    </w:p>
    <w:p>
      <w:pPr>
        <w:pStyle w:val="30"/>
        <w:spacing w:line="600" w:lineRule="exact"/>
        <w:ind w:firstLine="643"/>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（一）禁养区范围</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按照法律、法规、行政规章等规定，禁养区内严禁新建、改扩建规模养殖场及非规模养殖场，禁养区内现有不符合要求的规模养殖场及非规模养殖场应由当地人民政府在国家规定时限内依法关停或搬迁。结合我县实际情况，畜禽规模养殖禁养区基本范围如下。</w:t>
      </w:r>
    </w:p>
    <w:p>
      <w:pPr>
        <w:pStyle w:val="30"/>
        <w:numPr>
          <w:ilvl w:val="0"/>
          <w:numId w:val="3"/>
        </w:numPr>
        <w:spacing w:line="580" w:lineRule="exact"/>
        <w:ind w:left="709" w:hanging="229" w:firstLineChars="0"/>
        <w:jc w:val="both"/>
        <w:rPr>
          <w:rFonts w:ascii="仿宋_GB2312" w:eastAsia="仿宋_GB2312"/>
          <w:b/>
          <w:color w:val="000000" w:themeColor="text1"/>
          <w:sz w:val="32"/>
          <w:szCs w:val="32"/>
        </w:rPr>
      </w:pPr>
      <w:bookmarkStart w:id="5" w:name="_Toc1392"/>
      <w:bookmarkStart w:id="6" w:name="_Toc18056810"/>
      <w:r>
        <w:rPr>
          <w:rFonts w:hint="eastAsia" w:ascii="仿宋_GB2312" w:eastAsia="仿宋_GB2312"/>
          <w:b/>
          <w:color w:val="000000" w:themeColor="text1"/>
          <w:sz w:val="32"/>
          <w:szCs w:val="32"/>
        </w:rPr>
        <w:t>饮用水水源保护区</w:t>
      </w:r>
      <w:bookmarkEnd w:id="5"/>
      <w:bookmarkEnd w:id="6"/>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包括饮用水水源一级保护区和二级保护区的陆域范围。已经完成饮用水水源保护区划分的，按照现有陆域边界范围执行；未完成饮用水水源保护区划分的，参照《饮用水水源保护区划分技术规范》（HJ 338-2018）中各类型饮用水水源保护区划分方法确定。</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（1）双牌县潇水集中式饮用水水源保护区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根据《双牌县潇水集中式饮用水水源保护区划分技术报告》，双牌县潇水集中式饮用水水源保护区总面积3.898km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，其中：一级保护区面积0.556km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（水域面积0.358km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，陆域面积0.198km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），二级保护区面积3.342km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（水域面积0.954km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，陆域面积2.388km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一级保护区水域范围为取水口上游至双牌水库大坝、下游100m范围内水域，水域宽度为整个河道范围，水域面积约0.358km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；陆域范围为一级保护区水域沿岸纵深范围50m，陆域面积约0.198km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，陆域边界位于双牌县泷泊镇上双村、霞灯村、双牌电站及五星岭林场沙坪工区境内。</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二级保护区水域范围从一级保护区上游延伸2000m、下游延伸200m，水域宽度为整个河道范围，水域面积约0.954km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；陆域范围为沿岸长度为一、二级保护区沿岸纵深范围200m（除一级保护区陆域外），陆域面积约2.388km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，陆域边界位于双牌县泷泊镇上双村、霞灯村、双牌电站及五星岭林场沙坪工区、朝阳工区境内。</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（2）单江水库饮用水水源保护区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单江水库为中型水库，根据《双牌县单江水库（备用水源）集中式饮用水水源保护区划分技术报告》，单江水库饮用水水源保护区总面积12.79km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，其中：一级保护区面积0.15km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（水域面积0.13km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，陆域面积0.02km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），二级保护区面积12.64km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（水域面积1.12km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，陆域面积11.52km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一级保护区水域范围为取水口半径300m范围内的区域，水域面积0.13km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；陆域为单江水库取水口侧正常水位线以上200m范围内的陆域，陆域面积0.02km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。一级保护区边界位于守木塘村境内。</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二级保护区水域为一级保护区边界外的所有水域面积，水域面积1.12km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；二级保护区陆域范围为集雨区以内（一级保护区以外），陆域面积11.52km</w:t>
      </w:r>
      <w:r>
        <w:rPr>
          <w:rFonts w:hint="eastAsia" w:ascii="仿宋_GB2312" w:eastAsia="仿宋_GB2312"/>
          <w:color w:val="000000" w:themeColor="text1"/>
          <w:sz w:val="32"/>
          <w:szCs w:val="32"/>
          <w:vertAlign w:val="superscript"/>
        </w:rPr>
        <w:t>2</w:t>
      </w:r>
      <w:r>
        <w:rPr>
          <w:rFonts w:hint="eastAsia" w:ascii="仿宋_GB2312" w:eastAsia="仿宋_GB2312"/>
          <w:color w:val="000000" w:themeColor="text1"/>
          <w:sz w:val="32"/>
          <w:szCs w:val="32"/>
        </w:rPr>
        <w:t>。二级保护区边界位于守木塘村（西侧、北侧）、吉江村（南侧、东侧）、崔家村（东北侧）境内。</w:t>
      </w:r>
    </w:p>
    <w:p>
      <w:pPr>
        <w:pStyle w:val="30"/>
        <w:spacing w:line="580" w:lineRule="exact"/>
        <w:ind w:firstLine="640"/>
        <w:jc w:val="both"/>
        <w:rPr>
          <w:rFonts w:hint="eastAsia" w:ascii="仿宋_GB2312" w:eastAsia="仿宋_GB2312"/>
          <w:color w:val="000000" w:themeColor="text1"/>
          <w:sz w:val="32"/>
          <w:szCs w:val="32"/>
        </w:rPr>
      </w:pPr>
      <w:bookmarkStart w:id="7" w:name="_Toc18056811"/>
      <w:r>
        <w:rPr>
          <w:rFonts w:hint="eastAsia" w:ascii="仿宋_GB2312" w:eastAsia="仿宋_GB2312"/>
          <w:color w:val="000000" w:themeColor="text1"/>
          <w:sz w:val="32"/>
          <w:szCs w:val="32"/>
        </w:rPr>
        <w:t>饮用水水源保护区一、二级保护区保护范围以相关部门划定结果为准。根据《水污染防治法》第六十五条“禁止在饮用水水源一级保护区内新建、改建、扩建与供水设施和保护水源无关的建设项目，已建成的与供水设施和保护水源无关的建设项目，由县级以上人民政府责令拆除或者关闭”、第六十六条“禁止在饮用水水源二级保护区内新建、改建、 扩建排放污染物的建设项目，已建成的排放污染物的建设项目，由县级以上人民政府责令拆除或者关闭”、《湖南省饮用水水源保护条例》第十九条“在饮用水源二级保护区内，除第十八条规定的禁止行为外，还禁止下列行为：（一）设置排污口；（二）新建、改建、扩建排放污染物的建设项目；（三）设置畜禽养殖场、养殖小区”等相关条款约定，双牌县饮用水水源保护区一、二级保护区范围内禁止建设规模养殖场。</w:t>
      </w:r>
      <w:bookmarkStart w:id="8" w:name="_Toc12045"/>
    </w:p>
    <w:p>
      <w:pPr>
        <w:pStyle w:val="30"/>
        <w:spacing w:line="580" w:lineRule="exact"/>
        <w:ind w:firstLine="643"/>
        <w:jc w:val="both"/>
        <w:rPr>
          <w:rFonts w:ascii="仿宋_GB2312" w:eastAsia="仿宋_GB2312"/>
          <w:color w:val="000000" w:themeColor="text1"/>
          <w:sz w:val="32"/>
          <w:szCs w:val="32"/>
        </w:rPr>
      </w:pPr>
      <w:r>
        <w:rPr>
          <w:rFonts w:hint="eastAsia" w:ascii="仿宋_GB2312" w:eastAsia="仿宋_GB2312"/>
          <w:b/>
          <w:color w:val="000000" w:themeColor="text1"/>
          <w:sz w:val="32"/>
          <w:szCs w:val="32"/>
        </w:rPr>
        <w:t>2.自然保护区</w:t>
      </w:r>
      <w:bookmarkEnd w:id="7"/>
      <w:bookmarkEnd w:id="8"/>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包括国家级和地方级自然保护区的核心区和缓冲区，按照各级人民政府公布的自然保护区范围执行。自然保护区核心区和缓冲区范围内，禁止建设养殖场。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（1）阳明山国家级自然保护区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阳明山国家级自然保护区位于双牌县境内东北隅，东南与宁远交界，西南两面与本县茶林、麻江两乡毗邻，北面分别与祁阳、零陵两县接壤面积114.5平方公里，1982年被批准为省级自然保护区，1992年被批准为国家森林公园，2009年9月，晋升为国家级自然保护区。保护区面积4.2万亩，规划范围为东羌源与太平村之间，面积1万亩，其中核心保护区3650亩，实验区2000亩。2012年，被评为国家4A级景区。2013年，被评为湖南省首批9家生态旅游示范区。境内珍稀野生动、植物资源非常丰富，森林覆盖率达97.8%，原始次生林分布数万亩，华南最大的华东黄杉和红豆杉群落分布其中，拥有云豹、白鹇、红腹锦鸡等国家一、二级保护动植物101种。</w:t>
      </w:r>
      <w:bookmarkStart w:id="24" w:name="_GoBack"/>
      <w:bookmarkEnd w:id="24"/>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（2）湖南双牌日月湖国家湿地公园</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湖南</w:t>
      </w:r>
      <w:r>
        <w:rPr>
          <w:rFonts w:hint="eastAsia" w:ascii="仿宋_GB2312" w:hAnsi="宋体" w:eastAsia="仿宋_GB2312"/>
          <w:color w:val="000000" w:themeColor="text1"/>
          <w:sz w:val="32"/>
          <w:szCs w:val="32"/>
        </w:rPr>
        <w:t>双牌日月湖国家湿地公园于2013年12月31日获国家林业局批准试点（国湿发〔2013〕243号）。湿地公园规划总面积3882.9公顷，范围从双牌县潇水大桥开始，沿潇水往上至理家坪车龙村水域（大坝以上称“日湖”，大坝以下称“月湖”）及周边河汊水系、部分山林地。湿地公园由南向北呈狭长型廊道走向，全长约51.5公里。公园建成后的湿地总面积为2173.7公顷，占公园总面积的56.0%。划定保护保育区、恢复重建区、宣教展示区、合理利用区和管理服务区5个功能区。公园以湿地和生物多样性保护为核心，以建设长江以南“中华秋沙鸭”等候鸟重要越冬栖息地为重点，以生态文化为内涵，以生态旅游为依托，集湿地保护保育、恢复修复、科普宣教、科研监测和合理利用于一体的国家级湿地公园。</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阳明山国家级自然保护区核心区和缓冲区范围内以及湖南</w:t>
      </w:r>
      <w:r>
        <w:rPr>
          <w:rFonts w:hint="eastAsia" w:ascii="仿宋_GB2312" w:hAnsi="宋体" w:eastAsia="仿宋_GB2312"/>
          <w:color w:val="000000" w:themeColor="text1"/>
          <w:sz w:val="32"/>
          <w:szCs w:val="32"/>
        </w:rPr>
        <w:t>双牌日月湖国家湿地公园</w:t>
      </w:r>
      <w:r>
        <w:rPr>
          <w:rFonts w:hint="eastAsia" w:ascii="仿宋_GB2312" w:eastAsia="仿宋_GB2312"/>
          <w:color w:val="000000" w:themeColor="text1"/>
          <w:sz w:val="32"/>
          <w:szCs w:val="32"/>
        </w:rPr>
        <w:t>范围内禁止建设规模养殖场。</w:t>
      </w:r>
      <w:bookmarkStart w:id="9" w:name="_Toc5253"/>
      <w:bookmarkStart w:id="10" w:name="_Toc18056812"/>
    </w:p>
    <w:p>
      <w:pPr>
        <w:pStyle w:val="30"/>
        <w:spacing w:line="600" w:lineRule="exact"/>
        <w:ind w:firstLine="643"/>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3.风景名胜区</w:t>
      </w:r>
      <w:bookmarkEnd w:id="9"/>
      <w:bookmarkEnd w:id="10"/>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包括国家级和省级风景名胜区，以国务院及省级人民政府批准公布的名单为准，范围按照其规划确定的范围执行。其中，风景名胜区的核心景区禁止建设养殖场；其他区域禁止建设有污染物排放的养殖场。双牌县境内无国家级和省级风景名胜区。</w:t>
      </w:r>
      <w:bookmarkStart w:id="11" w:name="_Toc9309"/>
      <w:bookmarkStart w:id="12" w:name="_Toc18056813"/>
    </w:p>
    <w:p>
      <w:pPr>
        <w:pStyle w:val="30"/>
        <w:spacing w:line="600" w:lineRule="exact"/>
        <w:ind w:firstLine="643"/>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4.城镇居民区、文化教育科学研究区</w:t>
      </w:r>
      <w:bookmarkEnd w:id="11"/>
      <w:bookmarkEnd w:id="12"/>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根据城镇现行总体规划，动物防疫条件、卫生防护和环境保护要求等，因地制宜，兼顾城镇发展，科学设置边界范围。边界范围内，禁止建设规模养殖场。</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（1）县城建成区范围</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双牌县城建成区范围内禁止建设规模养殖场。</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（2）各乡镇（管理局）建成区范围</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双牌县辖区内包括泷泊镇、江村镇、五里牌镇、茶林镇、何家洞镇、麻江镇、塘底乡、上梧江瑶族乡、理家坪乡、五星岭乡、打鼓坪乡、阳明山管理局，此6镇5乡和1个管理局政府所在地建成区范围内禁止建设规模养殖场。</w:t>
      </w:r>
      <w:bookmarkStart w:id="13" w:name="_Toc18056814"/>
      <w:bookmarkStart w:id="14" w:name="_Toc16006"/>
    </w:p>
    <w:p>
      <w:pPr>
        <w:pStyle w:val="30"/>
        <w:spacing w:line="580" w:lineRule="exact"/>
        <w:ind w:firstLine="643"/>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5.依照法律法规规定应当划定的区域</w:t>
      </w:r>
      <w:bookmarkEnd w:id="13"/>
      <w:bookmarkEnd w:id="14"/>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（1）公益林。根据《国家林业局 财政部关于印发&lt;国家级公益林区划界定办法&gt;和&lt;国家级公益林管理办法&gt;的通知》（林资发</w:t>
      </w:r>
      <w:r>
        <w:rPr>
          <w:rFonts w:hint="eastAsia" w:ascii="仿宋_GB2312" w:hAnsi="宋体" w:eastAsia="仿宋_GB2312" w:cs="宋体"/>
          <w:color w:val="000000" w:themeColor="text1"/>
          <w:sz w:val="32"/>
          <w:szCs w:val="32"/>
        </w:rPr>
        <w:t>〔</w:t>
      </w:r>
      <w:r>
        <w:rPr>
          <w:rFonts w:hint="eastAsia" w:ascii="仿宋_GB2312" w:eastAsia="仿宋_GB2312" w:cs="Times New Roman"/>
          <w:color w:val="000000" w:themeColor="text1"/>
          <w:sz w:val="32"/>
          <w:szCs w:val="32"/>
        </w:rPr>
        <w:t>2017</w:t>
      </w:r>
      <w:r>
        <w:rPr>
          <w:rFonts w:hint="eastAsia" w:ascii="仿宋_GB2312" w:hAnsi="宋体" w:eastAsia="仿宋_GB2312" w:cs="宋体"/>
          <w:color w:val="000000" w:themeColor="text1"/>
          <w:sz w:val="32"/>
          <w:szCs w:val="32"/>
        </w:rPr>
        <w:t>〕</w:t>
      </w:r>
      <w:r>
        <w:rPr>
          <w:rFonts w:hint="eastAsia" w:ascii="仿宋_GB2312" w:eastAsia="仿宋_GB2312"/>
          <w:color w:val="000000" w:themeColor="text1"/>
          <w:sz w:val="32"/>
          <w:szCs w:val="32"/>
        </w:rPr>
        <w:t>34号）中《国家级公益林管理办法》第十二条“一级国家级公益林原则上不得开展生产经营活动，严禁打枝、采脂、割漆、剥树皮、掘根等行为。国有一级国家级公益林，不得开展任何形式的生产经营活动”之规定，公益林范围内禁止建设养殖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根据《基本农田保护条例》第十五条、第十七条“基本农田保护区经依法划定后，任何单位和个人不得改变或者占用”和“禁止任何单位和个人占用基本农田发展林果业和挖塘养鱼”之规定，基本农田保护区范围内禁止建设养殖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（3）法律法规规定的其他禁止建设养殖场的区域，按照相关法律法规执行。</w:t>
      </w:r>
    </w:p>
    <w:p>
      <w:pPr>
        <w:pStyle w:val="30"/>
        <w:spacing w:line="580" w:lineRule="exact"/>
        <w:ind w:firstLine="643"/>
        <w:jc w:val="both"/>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（二）限养区范围</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按照法律、法规、行政规章等规定，在一定区域内限定畜禽养殖数量和规模，限养区内现有的畜禽养殖场需达到污染物排放总量控制的要求。</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1.饮用水源保护区 </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（1）各</w:t>
      </w:r>
      <w:r>
        <w:rPr>
          <w:rFonts w:hint="eastAsia" w:ascii="仿宋_GB2312" w:eastAsia="仿宋_GB2312"/>
          <w:color w:val="000000" w:themeColor="text1"/>
          <w:spacing w:val="-6"/>
          <w:sz w:val="32"/>
          <w:szCs w:val="32"/>
        </w:rPr>
        <w:t>饮用水水源保护区二级保护区外延500米为限养区。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（2）农村集中式饮用水源保护区（详见附件6）范围为限养区。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2.阳明山国家级自然保护区的实验区范围为限养区。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3.湖南双牌日月湖国家湿地公园边界外延500米范围为限养区。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4.医院、学校、县城及6镇5乡1个管理局政府所在地建成区禁养区外延500米为限养区。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hAnsi="宋体" w:eastAsia="仿宋_GB2312"/>
          <w:color w:val="000000" w:themeColor="text1"/>
          <w:sz w:val="32"/>
          <w:szCs w:val="32"/>
        </w:rPr>
        <w:t>5.打鼓坪西冲省级森林公园、桐子坳旅游景区、国际慢城（花千谷）范围</w:t>
      </w:r>
      <w:r>
        <w:rPr>
          <w:rFonts w:hint="eastAsia" w:ascii="仿宋_GB2312" w:eastAsia="仿宋_GB2312"/>
          <w:color w:val="000000" w:themeColor="text1"/>
          <w:sz w:val="32"/>
          <w:szCs w:val="32"/>
        </w:rPr>
        <w:t>为限养区。</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（1）打鼓坪西冲省级森林公园</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打鼓坪西冲森林公园位于双牌县打鼓坪林场，地处永州市双牌县最南端，与道县接壤，总面积2026.72公顷，林木蓄积量60余万立方米，森林覆盖率高达92.8%。该森林公园生态资源丰富，园内多集中连片的原始次生林，拥有银杏、伯乐树、资源冷杉、南方红豆杉、闽楠、杜仲、厚朴、榉木、翅荚木、金钱柳、花榈木等国家一、二类保护珍稀植物20余种；有黄腹角雉、五步蛇、金猫、果子狸、穿山甲、石蛙、中华蟾蜍、锦鸡等国家和省级一、二类保护动物30余种。加之西冲森林公园风光旖旎，不仅是名副其实的“湘南活化石”，更是人们休闲旅游的好去处。</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（2）桐子坳景区</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双牌县茶林镇桐子坳景区位于茶林镇桐子坳村，阳明山景区西南处，东起永连公路、南至天子山大桥、北至新院子村、西至老省道。规划总用地为487.54公顷，其中村庄建设用地为29.95公顷，占总用地比例为6.14%，非村庄建设用地为31.46公顷，占总用地比例为6.45%，非建设用地为426.13公顷，占用地比例为87.4%。项目从区域和节点两个层面进行规划，着重对集散中心、商业河街、仙湖灵居、祈福广场、醉蝶山庄、山野静舍、银杏仙境等八个重要节点提出详细的概念规划。</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（3）国际慢城（花千谷）</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泷泊国际慢城位于双牌县泷泊镇，双牌潇水大桥至五里牌大坝的环月湖区域，包括泷泊镇良村、江西村、佑里村、沙背甸村、霞灯村等5个村的部分区域，占地面积23.04平方公里。慢城花千谷系国际慢城子项目，位于双牌县泷泊镇霞灯村，属于慢城高端花谷区，园区内以花田、树林为主，花田今年已成功种植一年花卉，5.8公里的游道已建成，主游道为彩色混凝土路面，喷灌、滴管、水渠等水利设施完备，双牌灌区及潇水提供用水，园内栈道、凉亭、厕所、垃圾箱、小品景观等配套设施齐全。</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1.主要交通主干道两侧区域：G55二广高速、G207国道、S350省道、永连公路、洛湛铁路双牌段两侧</w:t>
      </w:r>
      <w:r>
        <w:rPr>
          <w:rFonts w:hint="eastAsia" w:ascii="仿宋_GB2312" w:eastAsia="仿宋_GB2312"/>
          <w:sz w:val="32"/>
          <w:szCs w:val="32"/>
        </w:rPr>
        <w:t>自路肩起2</w:t>
      </w:r>
      <w:r>
        <w:rPr>
          <w:rFonts w:hint="eastAsia" w:ascii="仿宋_GB2312" w:eastAsia="仿宋_GB2312"/>
          <w:color w:val="000000" w:themeColor="text1"/>
          <w:sz w:val="32"/>
          <w:szCs w:val="32"/>
        </w:rPr>
        <w:t>00米范围内为限养区。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2.高密度饲养区：其它养殖密度大于1000头每平方公里（以生猪存栏计量）的区域为限养区。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3.重要河流、水库区域。</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（1）湘江支流</w:t>
      </w:r>
      <w:r>
        <w:rPr>
          <w:rFonts w:hint="eastAsia" w:ascii="仿宋_GB2312" w:eastAsia="仿宋_GB2312"/>
          <w:sz w:val="32"/>
          <w:szCs w:val="32"/>
        </w:rPr>
        <w:t>潇水河</w:t>
      </w:r>
      <w:r>
        <w:rPr>
          <w:rFonts w:hint="eastAsia" w:ascii="仿宋_GB2312" w:eastAsia="仿宋_GB2312"/>
          <w:color w:val="000000" w:themeColor="text1"/>
          <w:sz w:val="32"/>
          <w:szCs w:val="32"/>
        </w:rPr>
        <w:t>两岸500米范围内（遇第一重山脊线以第一重山脊线为界）为限养区；</w:t>
      </w:r>
    </w:p>
    <w:p>
      <w:pPr>
        <w:pStyle w:val="30"/>
        <w:spacing w:line="600" w:lineRule="exact"/>
        <w:ind w:firstLine="640"/>
        <w:jc w:val="both"/>
        <w:rPr>
          <w:rFonts w:hint="eastAsia" w:ascii="仿宋_GB2312" w:eastAsia="仿宋_GB2312" w:cs="Times New Roman"/>
          <w:color w:val="000000" w:themeColor="text1"/>
          <w:sz w:val="32"/>
          <w:szCs w:val="32"/>
        </w:rPr>
      </w:pPr>
      <w:r>
        <w:rPr>
          <w:rFonts w:hint="eastAsia" w:ascii="仿宋_GB2312" w:eastAsia="仿宋_GB2312"/>
          <w:color w:val="000000" w:themeColor="text1"/>
          <w:sz w:val="32"/>
          <w:szCs w:val="32"/>
        </w:rPr>
        <w:t>（2）5座</w:t>
      </w:r>
      <w:r>
        <w:rPr>
          <w:rFonts w:hint="eastAsia" w:ascii="仿宋_GB2312" w:eastAsia="仿宋_GB2312" w:cs="Times New Roman"/>
          <w:color w:val="000000" w:themeColor="text1"/>
          <w:sz w:val="32"/>
          <w:szCs w:val="32"/>
        </w:rPr>
        <w:t>小</w:t>
      </w:r>
      <w:r>
        <w:rPr>
          <w:rFonts w:hint="eastAsia" w:ascii="仿宋_GB2312" w:hAnsi="仿宋" w:eastAsia="仿宋_GB2312" w:cs="Times New Roman"/>
          <w:color w:val="000000" w:themeColor="text1"/>
          <w:sz w:val="32"/>
          <w:szCs w:val="32"/>
        </w:rPr>
        <w:t>I</w:t>
      </w:r>
      <w:r>
        <w:rPr>
          <w:rFonts w:hint="eastAsia" w:ascii="仿宋_GB2312" w:eastAsia="仿宋_GB2312" w:cs="Times New Roman"/>
          <w:color w:val="000000" w:themeColor="text1"/>
          <w:sz w:val="32"/>
          <w:szCs w:val="32"/>
        </w:rPr>
        <w:t>型水库设计洪水位以外水平延伸200米以内的陆域。</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s="Times New Roman"/>
          <w:color w:val="000000" w:themeColor="text1"/>
          <w:sz w:val="32"/>
          <w:szCs w:val="32"/>
        </w:rPr>
        <w:t>1.</w:t>
      </w:r>
      <w:r>
        <w:rPr>
          <w:rFonts w:hint="eastAsia" w:ascii="仿宋_GB2312" w:eastAsia="仿宋_GB2312"/>
          <w:color w:val="000000" w:themeColor="text1"/>
          <w:sz w:val="32"/>
          <w:szCs w:val="32"/>
        </w:rPr>
        <w:t>根据城乡发展规划和区域污染物排放总量控制要求，应当限制养殖的区域。</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2.法律法规规定的其他限制建设养殖场的区域，按照相关法律法规执行。</w:t>
      </w:r>
    </w:p>
    <w:p>
      <w:pPr>
        <w:pStyle w:val="30"/>
        <w:spacing w:line="600" w:lineRule="exact"/>
        <w:ind w:firstLine="643"/>
        <w:jc w:val="both"/>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（三）适养区范围</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双牌县行政区域内除禁养区和限养区以外的其它满足环境容量区域的为适养区。</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在畜禽养殖适养区内从事畜禽养殖的，应当遵守国家相关的法律法规，通过相关部门审批，并根据国家有关建设项目环境保护管理规定，开展环境影响评估，其污染防治措施及畜禽排泄物综合利用措施必须与主体工程同步设计、同步施工、同步投产使用，其污染物排放不得超过国家和地方规定的排放标准和总量控制要求。</w:t>
      </w:r>
      <w:bookmarkStart w:id="15" w:name="_Toc13133"/>
    </w:p>
    <w:p>
      <w:pPr>
        <w:pStyle w:val="30"/>
        <w:spacing w:line="600" w:lineRule="exact"/>
        <w:ind w:firstLine="640"/>
        <w:jc w:val="both"/>
        <w:rPr>
          <w:rFonts w:hint="eastAsia" w:ascii="黑体" w:hAnsi="黑体" w:eastAsia="黑体"/>
          <w:color w:val="000000" w:themeColor="text1"/>
          <w:sz w:val="32"/>
          <w:szCs w:val="32"/>
        </w:rPr>
      </w:pPr>
      <w:r>
        <w:rPr>
          <w:rFonts w:hint="eastAsia" w:ascii="黑体" w:hAnsi="黑体" w:eastAsia="黑体"/>
          <w:color w:val="000000" w:themeColor="text1"/>
          <w:sz w:val="32"/>
          <w:szCs w:val="32"/>
        </w:rPr>
        <w:t>六、工作要求</w:t>
      </w:r>
      <w:bookmarkEnd w:id="15"/>
    </w:p>
    <w:p>
      <w:pPr>
        <w:pStyle w:val="30"/>
        <w:spacing w:line="600" w:lineRule="exact"/>
        <w:ind w:firstLine="643"/>
        <w:jc w:val="both"/>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（一）执行标准</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按照“谁污染、谁治理”原则，督促各养殖场履行环保义务。禁养区内不符合要求的养殖场应按规定关闭、搬迁并完全消除遗留环境污染。限养区内新、扩建畜禽规模养殖场需经相关部门审批同意后方可建设，限养区内的已有养殖场需配套畜禽粪便治理设施。适养区内各养殖场整治工作要坚持“综合利用优先，资源化、无害化和减量化”的原则，严格按照《畜禽养殖业污染防治技术规范》（HJ/T81—2001）进行整改。</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综合考虑全县经济发展水平及环境容量等因素，原则上要求禁养区外规模化养殖场在完成整改等措施后，均需实现养殖废弃物全部综合利用。位于划定的适养区和限养区内的规模养殖场，需进行相应污染治理措施整改的，验收标准按原环评、环评批复以及《畜禽养殖业污染物排放标准》（GB 18596-2001）的相关规定执行。</w:t>
      </w:r>
    </w:p>
    <w:p>
      <w:pPr>
        <w:pStyle w:val="30"/>
        <w:spacing w:line="580" w:lineRule="exact"/>
        <w:ind w:firstLine="643"/>
        <w:jc w:val="both"/>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（二）实施程序</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前期报备。各乡镇（管理局）对各养殖场进行报备通知。报备内容应包括养殖地点、养殖类型与最大规模、现有环保设施与当前养殖粪污处理方式。</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1.政策通知。本方案经县人民政府审批通过后进行公示，各乡镇（管理局）通知管辖区域内的规模化、非规模化养殖场及养殖专业户。</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2.摸底排查。各乡镇（管理局）</w:t>
      </w:r>
      <w:r>
        <w:rPr>
          <w:rFonts w:hint="eastAsia" w:ascii="仿宋_GB2312" w:eastAsia="仿宋_GB2312"/>
          <w:sz w:val="32"/>
          <w:szCs w:val="32"/>
        </w:rPr>
        <w:t>将摸底情况向县农业农村局、市生态环境局双牌分局备案，对未报备、未据实报备的规模</w:t>
      </w:r>
      <w:r>
        <w:rPr>
          <w:rFonts w:hint="eastAsia" w:ascii="仿宋_GB2312" w:eastAsia="仿宋_GB2312"/>
          <w:color w:val="000000" w:themeColor="text1"/>
          <w:sz w:val="32"/>
          <w:szCs w:val="32"/>
        </w:rPr>
        <w:t>化养殖场依法进行调查处理。</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方案执行。根据《畜禽规模养殖污染防治条例》（2013年11月11日国务院令第643号，2014年1月1日起施行）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之规定。</w:t>
      </w:r>
      <w:r>
        <w:rPr>
          <w:rFonts w:hint="eastAsia" w:ascii="仿宋_GB2312" w:eastAsia="仿宋_GB2312"/>
          <w:sz w:val="32"/>
          <w:szCs w:val="32"/>
        </w:rPr>
        <w:t>由市生态环境局双牌分局</w:t>
      </w:r>
      <w:r>
        <w:rPr>
          <w:rFonts w:hint="eastAsia" w:ascii="仿宋_GB2312" w:eastAsia="仿宋_GB2312"/>
          <w:color w:val="000000" w:themeColor="text1"/>
          <w:sz w:val="32"/>
          <w:szCs w:val="32"/>
        </w:rPr>
        <w:t>对禁养区内不符合要求的养殖场下达关停或限期搬迁通知，对限养区内的规模化养殖场下达限养区管理通知，对适养区内的规模化养殖场进行现场核查。禁养区内的规模化养殖场在接到通知后，应提供关停或搬迁方案、时间表、遗留环境污染治理方案；限养区内的规模化养殖场在接到通知后，应提供环保验收资料、不在原址扩大养殖规模的承诺书；适养区内的规模化养殖场在接到通知后，应提供环保验收资料。</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限养区、适养区范围内的原有规模化养殖场应履行环境保护“三同时”竣工验收手续。如未能提供环保验收资料，建设单位需在限定期限内完成环保验收手续。污染治理措施缺失或具有较大缺陷的，应立即按照环保要求制定环保治理工程实施方案并报市生态环境局双牌分局审查，审查通过后严格按照实施方案进行施工，限期完成整改并采取措施消除影响。环保治理工程实施方案中应说明养殖场的常年存栏量、粪污处置的技术工艺与设施建造规模及加工处理能力、粪污承载农田或山林面积、粪污浇灌方式与浇灌量。养殖场应对其上报常年存栏量的准确性负责，不得少报瞒报，主动接受环境监察单位的监管。</w:t>
      </w:r>
    </w:p>
    <w:p>
      <w:pPr>
        <w:pStyle w:val="30"/>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适养区内拟新建或改扩建、迁建的规模化养殖场须在完善环境影响评价手续和其他行政审批手续后才能够合法进行建设，在完成环保竣工验收后才能够正式运营。</w:t>
      </w:r>
    </w:p>
    <w:p>
      <w:pPr>
        <w:pStyle w:val="30"/>
        <w:spacing w:line="600" w:lineRule="exact"/>
        <w:ind w:firstLine="643"/>
        <w:jc w:val="both"/>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（三）保障措施</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实施畜禽养殖布局规划是一项涉及面广、任务重的系统工程，是保护和改善我县农业农村生态环境，保证养殖业持续健康发展的重要措施。各乡镇（管理局）和自然资源、林业、农业、生态环境等有关部门按各自职责分工，通力协作，抓好规划实施工作。各部门在规划、立项审批时，应根据规划要求严格审批程序，切实推进全县畜禽养殖业可持续健康发展。</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1.实行属地管理原则。</w:t>
      </w:r>
    </w:p>
    <w:p>
      <w:pPr>
        <w:pStyle w:val="30"/>
        <w:spacing w:line="60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各乡镇（管理局）应严格按照本规划，结合本辖区发展规划，把好畜禽规模养殖发展关口，实现畜禽养殖业适度发展。要对辖区内畜牧产业发展布局规划的执行负总责，确定一位政府领导负责此项工作，加强定期检查督促，确保辖区内畜禽养殖规模控制在环境可承载能力范围内。</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2.明确各部门职责。</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县自然资源局：收到新建、扩建规模养殖场申请后，现场核实是否符</w:t>
      </w:r>
      <w:r>
        <w:rPr>
          <w:rFonts w:hint="eastAsia" w:ascii="仿宋_GB2312" w:eastAsia="仿宋_GB2312"/>
          <w:sz w:val="32"/>
          <w:szCs w:val="32"/>
        </w:rPr>
        <w:t>合国土空间规划、用途管制和畜禽</w:t>
      </w:r>
      <w:r>
        <w:rPr>
          <w:rFonts w:hint="eastAsia" w:ascii="仿宋_GB2312" w:eastAsia="仿宋_GB2312"/>
          <w:color w:val="000000" w:themeColor="text1"/>
          <w:sz w:val="32"/>
          <w:szCs w:val="32"/>
        </w:rPr>
        <w:t>养殖建设条件，涉及违法占地的应严肃查处。</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县林业局：收到新建、扩建规模养殖场申请后，必须派出人员到现场核实是否符合林业用地规划，涉及违法占林地的应严肃查处。</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市生态环境局双牌分局：对禁养区内不符合要求的养殖场上报县人民政府下达关停或限期搬迁通知；对限养区内的规模化养殖场下达限养区管理通知；对在适养区内新、扩建规模养殖场，对其环保设施“三同时”建设、运行情况进行监督。</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县农业农村局：按照畜牧产业发展布局规划的要求，积极做好经批准新、扩建规模养殖场沼气工程的技术指导和设施建设工作，做好畜禽养殖区域的划分、指导规模养殖场的合理选址布局。科学界定各区域养殖量，控制养殖总量。做好畜禽养殖场登记备案和畜禽养殖代码发放，配合有关部门做好违法占地、污染治理联合执法工作，将农村能源工程与治污工程相结合，积极做好以畜禽排泄物为主的生物有机肥厂建设，加大有机肥推广力度。</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3.落实方案，严格执法。</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畜禽养殖企业是治理污染的主体，应主动积极地投入污染治理。自然资源局、生态环境分局、农业农村局等部门配合，开展畜禽养殖业专项整治执法，严厉查处和打击畜禽养殖污染存在的违法行为。</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4.广泛宣传，公众监督。</w:t>
      </w:r>
    </w:p>
    <w:p>
      <w:pPr>
        <w:pStyle w:val="30"/>
        <w:spacing w:line="580" w:lineRule="exact"/>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各乡镇（管理局）及有关部门要充分利用广播、电视、报刊、网络等新闻媒体向全社会广泛开展多层次、多形式的宣传，特别是要大力加强面向农村的宣传，加大畜禽养殖污染防治和畜禽养殖禁养区、限养区划定的宣传力度和范围，及时报道对环境造成严重影响的畜禽养殖污染事件和治污典型，提高公众参与的积极性，形成强大的舆论监督声势。</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5.树立典型，稳步推广。</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市生态环境局双牌分局、农业农村局等部门应加强对畜禽养殖业的指导和管理，采取切实措施，大力推广雨污分离、干湿分离，大力推广“猪--沼--菜/果”等畜禽养殖污染防治实用技术和生态养殖模式，进一步加大畜禽粪尿综合利用力度，抓好典型示范推广，促进畜牧业的健康持续发展。</w:t>
      </w:r>
      <w:bookmarkStart w:id="16" w:name="_Toc11017"/>
    </w:p>
    <w:p>
      <w:pPr>
        <w:pStyle w:val="30"/>
        <w:spacing w:line="580" w:lineRule="exact"/>
        <w:ind w:firstLine="640"/>
        <w:jc w:val="both"/>
        <w:rPr>
          <w:rFonts w:ascii="黑体" w:hAnsi="黑体" w:eastAsia="黑体"/>
          <w:color w:val="000000" w:themeColor="text1"/>
          <w:sz w:val="32"/>
          <w:szCs w:val="32"/>
        </w:rPr>
      </w:pPr>
      <w:r>
        <w:rPr>
          <w:rFonts w:hint="eastAsia" w:ascii="黑体" w:hAnsi="黑体" w:eastAsia="黑体"/>
          <w:color w:val="000000" w:themeColor="text1"/>
          <w:sz w:val="32"/>
          <w:szCs w:val="32"/>
        </w:rPr>
        <w:t>七、附则</w:t>
      </w:r>
      <w:bookmarkEnd w:id="16"/>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本方案适用于双牌县行政区域范围内各类畜禽规模养殖场（小区）的养殖区域划分。本方案所称畜禽，是指由国务院畜牧兽医行政主管部门公布的畜禽遗传资源目录的动物，包括猪、牛、羊、兔、鸡、鸭、鹅等。国家和省市对伴侣动物、观赏动物、竞技动物、实验动物等饲养管理另有规定的，从其规定。</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（二）畜禽养殖禁养区、限养区、适养区的具体范围以划定方案及《湖南省双牌县畜禽规模养殖“三区”划定图》相结合为准。</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（三）随着城市城镇建设和社会经济发展，本方案应适时进行补充修正。</w:t>
      </w: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（四）本方案未尽事宜由市生态环境局双牌分局和县农业农村局负责补充和解释。</w:t>
      </w:r>
    </w:p>
    <w:p>
      <w:pPr>
        <w:pStyle w:val="30"/>
        <w:spacing w:line="580" w:lineRule="exact"/>
        <w:ind w:firstLine="640"/>
        <w:jc w:val="both"/>
        <w:rPr>
          <w:rFonts w:ascii="仿宋_GB2312" w:eastAsia="仿宋_GB2312"/>
          <w:color w:val="000000" w:themeColor="text1"/>
          <w:sz w:val="32"/>
          <w:szCs w:val="32"/>
        </w:rPr>
      </w:pPr>
    </w:p>
    <w:p>
      <w:pPr>
        <w:pStyle w:val="30"/>
        <w:spacing w:line="58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附件：1.养殖规模划分标准</w:t>
      </w:r>
    </w:p>
    <w:p>
      <w:pPr>
        <w:pStyle w:val="30"/>
        <w:spacing w:line="580" w:lineRule="exact"/>
        <w:ind w:firstLine="1600" w:firstLineChars="5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2.双牌县潇水集中式饮用水水源保护区划定方案</w:t>
      </w:r>
    </w:p>
    <w:p>
      <w:pPr>
        <w:pStyle w:val="30"/>
        <w:spacing w:line="580" w:lineRule="exact"/>
        <w:ind w:left="1916" w:leftChars="760" w:hanging="320" w:hangingChars="1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3.双牌县潇水集中式饮用水水源保护区拐点坐标一览表</w:t>
      </w:r>
    </w:p>
    <w:p>
      <w:pPr>
        <w:pStyle w:val="30"/>
        <w:spacing w:line="580" w:lineRule="exact"/>
        <w:ind w:firstLine="1600" w:firstLineChars="5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4.单江水库饮用水水源保护区划定方案</w:t>
      </w:r>
    </w:p>
    <w:p>
      <w:pPr>
        <w:pStyle w:val="30"/>
        <w:spacing w:line="580" w:lineRule="exact"/>
        <w:ind w:firstLine="1600" w:firstLineChars="5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5.单江水库饮用水水源保护区拐点坐标一览表</w:t>
      </w:r>
    </w:p>
    <w:p>
      <w:pPr>
        <w:pStyle w:val="30"/>
        <w:spacing w:line="580" w:lineRule="exact"/>
        <w:ind w:firstLine="1600" w:firstLineChars="5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6.双牌县小I型以上水库基本情况一览表</w:t>
      </w:r>
    </w:p>
    <w:p>
      <w:pPr>
        <w:pStyle w:val="30"/>
        <w:spacing w:line="580" w:lineRule="exact"/>
        <w:ind w:firstLine="1600" w:firstLineChars="5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7.农村集中式饮用水源保护区基本情况一览表</w:t>
      </w:r>
    </w:p>
    <w:p>
      <w:pPr>
        <w:spacing w:line="600" w:lineRule="exact"/>
        <w:rPr>
          <w:rFonts w:ascii="仿宋_GB2312" w:eastAsia="仿宋_GB2312"/>
          <w:color w:val="000000" w:themeColor="text1"/>
          <w:sz w:val="32"/>
          <w:szCs w:val="32"/>
        </w:rPr>
      </w:pPr>
    </w:p>
    <w:p>
      <w:pPr>
        <w:rPr>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pStyle w:val="6"/>
        <w:spacing w:after="0" w:line="620" w:lineRule="exact"/>
        <w:ind w:left="840" w:firstLine="640"/>
        <w:rPr>
          <w:rFonts w:ascii="仿宋" w:hAnsi="仿宋"/>
          <w:szCs w:val="32"/>
        </w:rPr>
      </w:pPr>
    </w:p>
    <w:p>
      <w:pPr>
        <w:pBdr>
          <w:bottom w:val="single" w:color="auto" w:sz="6" w:space="1"/>
        </w:pBdr>
        <w:spacing w:line="460" w:lineRule="exact"/>
        <w:rPr>
          <w:rFonts w:ascii="仿宋_GB2312" w:hAnsi="Verdana"/>
          <w:sz w:val="28"/>
          <w:szCs w:val="28"/>
        </w:rPr>
      </w:pPr>
      <w:r>
        <w:rPr>
          <w:rFonts w:hint="eastAsia" w:ascii="仿宋" w:hAnsi="仿宋" w:eastAsia="仿宋"/>
          <w:sz w:val="32"/>
          <w:szCs w:val="32"/>
        </w:rPr>
        <w:t xml:space="preserve">                               </w:t>
      </w:r>
    </w:p>
    <w:p>
      <w:pPr>
        <w:spacing w:line="460" w:lineRule="exact"/>
        <w:ind w:firstLine="280" w:firstLineChars="100"/>
        <w:rPr>
          <w:rFonts w:ascii="仿宋_GB2312" w:hAnsi="Verdana" w:eastAsia="仿宋_GB2312"/>
          <w:sz w:val="28"/>
          <w:szCs w:val="28"/>
        </w:rPr>
      </w:pPr>
      <w:r>
        <w:rPr>
          <w:rFonts w:hint="eastAsia" w:ascii="仿宋_GB2312" w:hAnsi="Verdana" w:eastAsia="仿宋_GB2312"/>
          <w:sz w:val="28"/>
          <w:szCs w:val="28"/>
        </w:rPr>
        <w:t>抄送：县委各部门，县人武部。</w:t>
      </w:r>
    </w:p>
    <w:p>
      <w:pPr>
        <w:spacing w:line="460" w:lineRule="exact"/>
        <w:rPr>
          <w:rFonts w:ascii="仿宋_GB2312" w:hAnsi="Verdana" w:eastAsia="仿宋_GB2312"/>
          <w:sz w:val="28"/>
          <w:szCs w:val="28"/>
        </w:rPr>
      </w:pPr>
      <w:r>
        <w:rPr>
          <w:rFonts w:ascii="仿宋_GB2312" w:hAnsi="Verdana" w:eastAsia="仿宋_GB2312"/>
          <w:sz w:val="28"/>
          <w:szCs w:val="28"/>
        </w:rPr>
        <w:t xml:space="preserve">       </w:t>
      </w:r>
      <w:r>
        <w:rPr>
          <w:rFonts w:hint="eastAsia" w:ascii="仿宋_GB2312" w:hAnsi="Verdana" w:eastAsia="仿宋_GB2312"/>
          <w:sz w:val="28"/>
          <w:szCs w:val="28"/>
        </w:rPr>
        <w:t xml:space="preserve"> 县人大办，县政协办，县人民法院，县人民检察院。</w:t>
      </w:r>
    </w:p>
    <w:p>
      <w:pPr>
        <w:pBdr>
          <w:top w:val="single" w:color="auto" w:sz="6" w:space="1"/>
          <w:bottom w:val="single" w:color="auto" w:sz="6" w:space="1"/>
        </w:pBdr>
        <w:spacing w:line="460" w:lineRule="exact"/>
        <w:ind w:firstLine="280" w:firstLineChars="100"/>
        <w:rPr>
          <w:rFonts w:hint="eastAsia" w:ascii="仿宋_GB2312" w:eastAsia="仿宋_GB2312"/>
          <w:sz w:val="32"/>
          <w:szCs w:val="32"/>
        </w:rPr>
      </w:pPr>
      <w:r>
        <w:rPr>
          <w:rFonts w:hint="eastAsia" w:ascii="仿宋_GB2312" w:hAnsi="Verdana" w:eastAsia="仿宋_GB2312"/>
          <w:sz w:val="28"/>
          <w:szCs w:val="28"/>
        </w:rPr>
        <w:t>双牌县人民政府办公室</w:t>
      </w:r>
      <w:r>
        <w:rPr>
          <w:rFonts w:ascii="仿宋_GB2312" w:hAnsi="Verdana" w:eastAsia="仿宋_GB2312"/>
          <w:sz w:val="28"/>
          <w:szCs w:val="28"/>
        </w:rPr>
        <w:t xml:space="preserve"> </w:t>
      </w:r>
      <w:r>
        <w:rPr>
          <w:rFonts w:ascii="Verdana" w:hAnsi="Verdana" w:eastAsia="仿宋_GB2312"/>
          <w:sz w:val="28"/>
          <w:szCs w:val="28"/>
        </w:rPr>
        <w:t>   </w:t>
      </w:r>
      <w:r>
        <w:rPr>
          <w:rFonts w:ascii="仿宋_GB2312" w:hAnsi="Verdana" w:eastAsia="仿宋_GB2312"/>
          <w:sz w:val="28"/>
          <w:szCs w:val="28"/>
        </w:rPr>
        <w:t xml:space="preserve">          </w:t>
      </w:r>
      <w:r>
        <w:rPr>
          <w:rFonts w:ascii="Verdana" w:hAnsi="Verdana" w:eastAsia="仿宋_GB2312"/>
          <w:sz w:val="28"/>
          <w:szCs w:val="28"/>
        </w:rPr>
        <w:t> </w:t>
      </w:r>
      <w:r>
        <w:rPr>
          <w:rFonts w:ascii="仿宋_GB2312" w:hAnsi="Verdana" w:eastAsia="仿宋_GB2312"/>
          <w:sz w:val="28"/>
          <w:szCs w:val="28"/>
        </w:rPr>
        <w:t xml:space="preserve">   </w:t>
      </w:r>
      <w:r>
        <w:rPr>
          <w:rFonts w:hint="eastAsia" w:ascii="仿宋_GB2312" w:hAnsi="Verdana" w:eastAsia="仿宋_GB2312"/>
          <w:sz w:val="28"/>
          <w:szCs w:val="28"/>
        </w:rPr>
        <w:t xml:space="preserve"> </w:t>
      </w:r>
      <w:r>
        <w:rPr>
          <w:rFonts w:ascii="Verdana" w:hAnsi="Verdana" w:eastAsia="仿宋_GB2312"/>
          <w:sz w:val="28"/>
          <w:szCs w:val="28"/>
        </w:rPr>
        <w:t> </w:t>
      </w:r>
      <w:r>
        <w:rPr>
          <w:rFonts w:ascii="仿宋_GB2312" w:hAnsi="Verdana" w:eastAsia="仿宋_GB2312"/>
          <w:sz w:val="28"/>
          <w:szCs w:val="28"/>
        </w:rPr>
        <w:t>20</w:t>
      </w:r>
      <w:r>
        <w:rPr>
          <w:rFonts w:hint="eastAsia" w:ascii="仿宋_GB2312" w:hAnsi="Verdana" w:eastAsia="仿宋_GB2312"/>
          <w:sz w:val="28"/>
          <w:szCs w:val="28"/>
        </w:rPr>
        <w:t>20年2月27日印发</w:t>
      </w:r>
    </w:p>
    <w:p>
      <w:pPr>
        <w:rPr>
          <w:color w:val="000000" w:themeColor="text1"/>
        </w:rPr>
        <w:sectPr>
          <w:headerReference r:id="rId3" w:type="default"/>
          <w:footerReference r:id="rId4" w:type="default"/>
          <w:pgSz w:w="11906" w:h="16838"/>
          <w:pgMar w:top="1588" w:right="1701" w:bottom="1474" w:left="1701"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17" w:name="_Toc29867"/>
      <w:r>
        <w:rPr>
          <w:rFonts w:hint="eastAsia" w:ascii="仿宋_GB2312" w:eastAsia="仿宋_GB2312"/>
          <w:b w:val="0"/>
          <w:color w:val="000000" w:themeColor="text1"/>
        </w:rPr>
        <w:t>附件1</w:t>
      </w:r>
      <w:bookmarkEnd w:id="17"/>
    </w:p>
    <w:p>
      <w:pPr>
        <w:pStyle w:val="30"/>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养殖规模划分标准</w:t>
      </w:r>
    </w:p>
    <w:tbl>
      <w:tblPr>
        <w:tblStyle w:val="1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类型</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猪（头）</w:t>
            </w:r>
          </w:p>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（出栏）</w:t>
            </w:r>
          </w:p>
        </w:tc>
        <w:tc>
          <w:tcPr>
            <w:tcW w:w="2840" w:type="dxa"/>
            <w:gridSpan w:val="2"/>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牛（头）</w:t>
            </w:r>
          </w:p>
        </w:tc>
        <w:tc>
          <w:tcPr>
            <w:tcW w:w="2842" w:type="dxa"/>
            <w:gridSpan w:val="2"/>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鸡（羽）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Style w:val="41"/>
                <w:b/>
                <w:color w:val="000000" w:themeColor="text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Style w:val="41"/>
                <w:b/>
                <w:color w:val="000000" w:themeColor="text1"/>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奶牛（存栏）</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肉牛（出栏）</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蛋鸡（存栏）</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b/>
                <w:color w:val="000000" w:themeColor="text1"/>
                <w:szCs w:val="21"/>
              </w:rPr>
            </w:pPr>
            <w:r>
              <w:rPr>
                <w:rStyle w:val="41"/>
                <w:rFonts w:hint="eastAsia"/>
                <w:b/>
                <w:color w:val="000000" w:themeColor="text1"/>
                <w:szCs w:val="21"/>
              </w:rPr>
              <w:t>肉鸡（出栏）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rFonts w:hint="eastAsia"/>
                <w:color w:val="000000" w:themeColor="text1"/>
                <w:szCs w:val="21"/>
              </w:rPr>
              <w:t>小型养殖场、养殖小区</w:t>
            </w:r>
          </w:p>
        </w:tc>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500</w:t>
            </w:r>
            <w:r>
              <w:rPr>
                <w:rStyle w:val="41"/>
                <w:rFonts w:hint="eastAsia"/>
                <w:color w:val="000000" w:themeColor="text1"/>
                <w:szCs w:val="21"/>
              </w:rPr>
              <w:t>（含）</w:t>
            </w:r>
            <w:r>
              <w:rPr>
                <w:rStyle w:val="41"/>
                <w:color w:val="000000" w:themeColor="text1"/>
                <w:szCs w:val="21"/>
              </w:rPr>
              <w:t>~4999</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50</w:t>
            </w:r>
            <w:r>
              <w:rPr>
                <w:rStyle w:val="41"/>
                <w:rFonts w:hint="eastAsia"/>
                <w:color w:val="000000" w:themeColor="text1"/>
                <w:szCs w:val="21"/>
              </w:rPr>
              <w:t>（含）</w:t>
            </w:r>
            <w:r>
              <w:rPr>
                <w:rStyle w:val="41"/>
                <w:color w:val="000000" w:themeColor="text1"/>
                <w:szCs w:val="21"/>
              </w:rPr>
              <w:t>~499</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100</w:t>
            </w:r>
            <w:r>
              <w:rPr>
                <w:rStyle w:val="41"/>
                <w:rFonts w:hint="eastAsia"/>
                <w:color w:val="000000" w:themeColor="text1"/>
                <w:szCs w:val="21"/>
              </w:rPr>
              <w:t>（含）</w:t>
            </w:r>
            <w:r>
              <w:rPr>
                <w:rStyle w:val="41"/>
                <w:color w:val="000000" w:themeColor="text1"/>
                <w:szCs w:val="21"/>
              </w:rPr>
              <w:t>~999</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15000</w:t>
            </w:r>
            <w:r>
              <w:rPr>
                <w:rStyle w:val="41"/>
                <w:rFonts w:hint="eastAsia"/>
                <w:color w:val="000000" w:themeColor="text1"/>
                <w:szCs w:val="21"/>
              </w:rPr>
              <w:t>（含）</w:t>
            </w:r>
            <w:r>
              <w:rPr>
                <w:rStyle w:val="41"/>
                <w:color w:val="000000" w:themeColor="text1"/>
                <w:szCs w:val="21"/>
              </w:rPr>
              <w:t>~149999</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30000</w:t>
            </w:r>
            <w:r>
              <w:rPr>
                <w:rStyle w:val="41"/>
                <w:rFonts w:hint="eastAsia"/>
                <w:color w:val="000000" w:themeColor="text1"/>
                <w:szCs w:val="21"/>
              </w:rPr>
              <w:t>（含）</w:t>
            </w:r>
            <w:r>
              <w:rPr>
                <w:rStyle w:val="41"/>
                <w:color w:val="000000" w:themeColor="text1"/>
                <w:szCs w:val="21"/>
              </w:rPr>
              <w:t>~299999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rFonts w:hint="eastAsia"/>
                <w:color w:val="000000" w:themeColor="text1"/>
                <w:szCs w:val="21"/>
              </w:rPr>
              <w:t>大型养殖场、养殖小区</w:t>
            </w:r>
          </w:p>
        </w:tc>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≥5000</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≥500</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≥1000</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≥150000</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1"/>
                <w:color w:val="000000" w:themeColor="text1"/>
                <w:szCs w:val="21"/>
              </w:rPr>
            </w:pPr>
            <w:r>
              <w:rPr>
                <w:rStyle w:val="41"/>
                <w:color w:val="000000" w:themeColor="text1"/>
                <w:szCs w:val="21"/>
              </w:rPr>
              <w:t>≥300000</w:t>
            </w:r>
          </w:p>
        </w:tc>
      </w:tr>
    </w:tbl>
    <w:p>
      <w:pPr>
        <w:pStyle w:val="30"/>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本方案单一品种畜禽养殖规模标准根据《湖南省畜禽规模养殖污染防治规定》第一章第三条划分。</w:t>
      </w:r>
    </w:p>
    <w:p>
      <w:pPr>
        <w:pStyle w:val="30"/>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具有不同畜禽养殖种类的，可将其它畜禽养殖量折算为猪的养殖量，以猪的养殖量确定养殖规模。换算比例为30羽蛋鸡、30羽鸭、15羽鹅、60羽肉鸡、30只兔、3只羊折算为1头猪，1头奶牛折算为10头猪，1头肉牛折算为5头猪。</w:t>
      </w:r>
    </w:p>
    <w:p>
      <w:pPr>
        <w:pStyle w:val="30"/>
        <w:ind w:firstLine="640"/>
        <w:jc w:val="both"/>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本方案规模化畜禽养殖场（小区）指：生猪（年出栏）≥500头、奶牛（年存栏）≥50头、肉牛（年出栏）≥100头、蛋鸡（年存栏）≥15000只、肉鸡（年出栏）≥30000只。</w:t>
      </w:r>
    </w:p>
    <w:p>
      <w:pPr>
        <w:rPr>
          <w:color w:val="000000" w:themeColor="text1"/>
        </w:rPr>
      </w:pPr>
    </w:p>
    <w:p>
      <w:pPr>
        <w:rPr>
          <w:color w:val="000000" w:themeColor="text1"/>
        </w:rPr>
        <w:sectPr>
          <w:pgSz w:w="11906" w:h="16838"/>
          <w:pgMar w:top="1440" w:right="1800" w:bottom="1440" w:left="1800"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18" w:name="_Toc6455"/>
      <w:r>
        <w:rPr>
          <w:rFonts w:hint="eastAsia" w:ascii="仿宋_GB2312" w:eastAsia="仿宋_GB2312"/>
          <w:b w:val="0"/>
          <w:color w:val="000000" w:themeColor="text1"/>
        </w:rPr>
        <w:t>附件2</w:t>
      </w:r>
      <w:bookmarkEnd w:id="18"/>
    </w:p>
    <w:p>
      <w:pPr>
        <w:pStyle w:val="30"/>
        <w:ind w:firstLine="562"/>
        <w:jc w:val="center"/>
        <w:rPr>
          <w:b/>
          <w:color w:val="000000" w:themeColor="text1"/>
        </w:rPr>
      </w:pPr>
    </w:p>
    <w:p>
      <w:pPr>
        <w:pStyle w:val="30"/>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双牌县潇水集中式饮用水水源保护区划定方案</w:t>
      </w:r>
    </w:p>
    <w:tbl>
      <w:tblPr>
        <w:tblStyle w:val="17"/>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7"/>
        <w:gridCol w:w="521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447" w:type="dxa"/>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保护区名称</w:t>
            </w:r>
          </w:p>
        </w:tc>
        <w:tc>
          <w:tcPr>
            <w:tcW w:w="5211" w:type="dxa"/>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范围</w:t>
            </w:r>
          </w:p>
        </w:tc>
        <w:tc>
          <w:tcPr>
            <w:tcW w:w="1704" w:type="dxa"/>
            <w:vAlign w:val="center"/>
          </w:tcPr>
          <w:p>
            <w:pPr>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保护面积（km</w:t>
            </w:r>
            <w:r>
              <w:rPr>
                <w:rFonts w:ascii="Times New Roman" w:hAnsi="Times New Roman" w:cs="Times New Roman"/>
                <w:color w:val="000000" w:themeColor="text1"/>
                <w:kern w:val="0"/>
                <w:sz w:val="24"/>
                <w:vertAlign w:val="superscript"/>
              </w:rPr>
              <w:t>2</w:t>
            </w:r>
            <w:r>
              <w:rPr>
                <w:rFonts w:ascii="Times New Roman" w:hAnsi="Times New Roman" w:cs="Times New Roman"/>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447" w:type="dxa"/>
            <w:vMerge w:val="restart"/>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一级保护区</w:t>
            </w:r>
          </w:p>
        </w:tc>
        <w:tc>
          <w:tcPr>
            <w:tcW w:w="52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水域：取水口上游至双牌水库大坝，下游100m范围，水域宽度为整个河道范围。</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447" w:type="dxa"/>
            <w:vMerge w:val="continue"/>
            <w:vAlign w:val="center"/>
          </w:tcPr>
          <w:p>
            <w:pPr>
              <w:widowControl/>
              <w:spacing w:line="400" w:lineRule="exact"/>
              <w:jc w:val="center"/>
              <w:rPr>
                <w:rFonts w:ascii="Times New Roman" w:hAnsi="Times New Roman" w:cs="Times New Roman"/>
                <w:color w:val="000000" w:themeColor="text1"/>
                <w:kern w:val="0"/>
                <w:sz w:val="24"/>
              </w:rPr>
            </w:pPr>
          </w:p>
        </w:tc>
        <w:tc>
          <w:tcPr>
            <w:tcW w:w="52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陆域：一级保护区水域两岸纵深50米范围陆域。</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447" w:type="dxa"/>
            <w:vMerge w:val="restart"/>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二级保护区</w:t>
            </w:r>
          </w:p>
        </w:tc>
        <w:tc>
          <w:tcPr>
            <w:tcW w:w="52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水域：一级保护区水域边界上溯2000米、下延220米范围内河道水域，水域宽度为整个河道范围。</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447" w:type="dxa"/>
            <w:vMerge w:val="continue"/>
            <w:vAlign w:val="center"/>
          </w:tcPr>
          <w:p>
            <w:pPr>
              <w:snapToGrid w:val="0"/>
              <w:spacing w:line="400" w:lineRule="exact"/>
              <w:jc w:val="center"/>
              <w:rPr>
                <w:rFonts w:ascii="Times New Roman" w:hAnsi="Times New Roman" w:cs="Times New Roman"/>
                <w:color w:val="000000" w:themeColor="text1"/>
                <w:sz w:val="24"/>
              </w:rPr>
            </w:pPr>
          </w:p>
        </w:tc>
        <w:tc>
          <w:tcPr>
            <w:tcW w:w="52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陆域：沿岸长度为一、二级保护区水域河长，沿岸纵深范围200m（除一级保护区陆域外）。</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6658" w:type="dxa"/>
            <w:gridSpan w:val="2"/>
            <w:vAlign w:val="center"/>
          </w:tcPr>
          <w:p>
            <w:pPr>
              <w:widowControl/>
              <w:spacing w:line="400" w:lineRule="exact"/>
              <w:rPr>
                <w:rFonts w:ascii="Times New Roman" w:hAnsi="Times New Roman" w:cs="Times New Roman"/>
                <w:color w:val="000000" w:themeColor="text1"/>
                <w:kern w:val="0"/>
                <w:sz w:val="24"/>
              </w:rPr>
            </w:pP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hint="eastAsia" w:ascii="Times New Roman" w:hAnsi="Times New Roman" w:cs="Times New Roman"/>
                <w:color w:val="000000" w:themeColor="text1"/>
                <w:kern w:val="0"/>
                <w:sz w:val="24"/>
              </w:rPr>
              <w:t>3.898</w:t>
            </w:r>
          </w:p>
        </w:tc>
      </w:tr>
    </w:tbl>
    <w:p>
      <w:pPr>
        <w:rPr>
          <w:color w:val="000000" w:themeColor="text1"/>
        </w:rPr>
      </w:pPr>
    </w:p>
    <w:p>
      <w:pPr>
        <w:rPr>
          <w:color w:val="000000" w:themeColor="text1"/>
        </w:rPr>
      </w:pPr>
    </w:p>
    <w:p>
      <w:pPr>
        <w:rPr>
          <w:color w:val="000000" w:themeColor="text1"/>
        </w:rPr>
      </w:pPr>
    </w:p>
    <w:p>
      <w:pPr>
        <w:rPr>
          <w:color w:val="000000" w:themeColor="text1"/>
        </w:rPr>
        <w:sectPr>
          <w:pgSz w:w="11906" w:h="16838"/>
          <w:pgMar w:top="1440" w:right="1800" w:bottom="1440" w:left="1800"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19" w:name="_Toc11112"/>
      <w:r>
        <w:rPr>
          <w:rFonts w:hint="eastAsia" w:ascii="仿宋_GB2312" w:eastAsia="仿宋_GB2312"/>
          <w:b w:val="0"/>
          <w:color w:val="000000" w:themeColor="text1"/>
        </w:rPr>
        <w:t>附件3</w:t>
      </w:r>
      <w:bookmarkEnd w:id="19"/>
    </w:p>
    <w:p>
      <w:pPr>
        <w:pStyle w:val="30"/>
        <w:spacing w:line="600" w:lineRule="exact"/>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双牌县潇水集中式饮用水水源保护区拐点</w:t>
      </w:r>
    </w:p>
    <w:p>
      <w:pPr>
        <w:pStyle w:val="30"/>
        <w:spacing w:line="600" w:lineRule="exact"/>
        <w:ind w:firstLine="0" w:firstLineChars="0"/>
        <w:jc w:val="center"/>
        <w:rPr>
          <w:b/>
          <w:color w:val="000000" w:themeColor="text1"/>
        </w:rPr>
      </w:pPr>
      <w:r>
        <w:rPr>
          <w:rFonts w:hint="eastAsia" w:ascii="方正大标宋_GBK" w:eastAsia="方正大标宋_GBK"/>
          <w:color w:val="000000" w:themeColor="text1"/>
          <w:sz w:val="40"/>
          <w:szCs w:val="40"/>
        </w:rPr>
        <w:t>坐标一览</w:t>
      </w:r>
      <w:r>
        <w:rPr>
          <w:rFonts w:ascii="方正大标宋_GBK" w:eastAsia="方正大标宋_GBK"/>
          <w:color w:val="000000" w:themeColor="text1"/>
          <w:sz w:val="40"/>
          <w:szCs w:val="40"/>
        </w:rPr>
        <w:t>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05"/>
        <w:gridCol w:w="1133"/>
        <w:gridCol w:w="1984"/>
        <w:gridCol w:w="1416"/>
        <w:gridCol w:w="852"/>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保护区</w:t>
            </w:r>
          </w:p>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类型</w:t>
            </w:r>
          </w:p>
        </w:tc>
        <w:tc>
          <w:tcPr>
            <w:tcW w:w="1133"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界桩号</w:t>
            </w:r>
          </w:p>
        </w:tc>
        <w:tc>
          <w:tcPr>
            <w:tcW w:w="1984"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界桩坐标</w:t>
            </w:r>
          </w:p>
        </w:tc>
        <w:tc>
          <w:tcPr>
            <w:tcW w:w="1416"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保护区类型</w:t>
            </w:r>
          </w:p>
        </w:tc>
        <w:tc>
          <w:tcPr>
            <w:tcW w:w="852"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界桩号</w:t>
            </w:r>
          </w:p>
        </w:tc>
        <w:tc>
          <w:tcPr>
            <w:tcW w:w="2032" w:type="dxa"/>
            <w:vAlign w:val="center"/>
          </w:tcPr>
          <w:p>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w:t>
            </w: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N：25°57'39.2"</w:t>
            </w:r>
          </w:p>
        </w:tc>
        <w:tc>
          <w:tcPr>
            <w:tcW w:w="1416"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B7</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E：111°40'17.8"</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A2</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N：25°57'40.5"</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B8</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E：111°40'19.1"</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A3</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N：25°57'45.9"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B9</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E：111°40'25.1"</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A4</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N：25°57'47.3"</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B10</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E：111°40'26.2"</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A5</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N：25°57'10.9"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B11</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E：111°41'09.7"</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A6</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N：25°57'09.2"</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B12</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E：111°41'09.8"</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A7</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N：25°57'02.9"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B13</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E：111°41'09.9"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A8</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N：25°57'01.5"</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B14</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E：111°41'09.8"</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N：25°57'39.5"</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B15</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E：111°40'07.3"</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N：25°57'44.0"</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B16</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E：111°40'12.5"</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B3</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N：25°57'49.9"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B17</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E：111°40'18.9"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B4</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N：25°57'51.0"</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B18</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E：111°40'20.2"</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B5</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N：25°57'21.1"</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B19</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E：111°41'13.8"</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B6</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N：25°57'48.9"</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restart"/>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B20</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1105" w:type="dxa"/>
            <w:vMerge w:val="continue"/>
            <w:vAlign w:val="center"/>
          </w:tcPr>
          <w:p>
            <w:pPr>
              <w:widowControl/>
              <w:jc w:val="center"/>
              <w:rPr>
                <w:rFonts w:ascii="Times New Roman" w:hAnsi="Times New Roman" w:cs="Times New Roman"/>
                <w:color w:val="000000" w:themeColor="text1"/>
                <w:kern w:val="0"/>
                <w:sz w:val="24"/>
              </w:rPr>
            </w:pPr>
          </w:p>
        </w:tc>
        <w:tc>
          <w:tcPr>
            <w:tcW w:w="1133" w:type="dxa"/>
            <w:vMerge w:val="continue"/>
            <w:vAlign w:val="center"/>
          </w:tcPr>
          <w:p>
            <w:pPr>
              <w:widowControl/>
              <w:jc w:val="center"/>
              <w:rPr>
                <w:rFonts w:ascii="Times New Roman" w:hAnsi="Times New Roman" w:cs="Times New Roman"/>
                <w:color w:val="000000" w:themeColor="text1"/>
                <w:kern w:val="0"/>
                <w:sz w:val="24"/>
              </w:rPr>
            </w:pP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E：111°41'25.0"</w:t>
            </w:r>
          </w:p>
        </w:tc>
        <w:tc>
          <w:tcPr>
            <w:tcW w:w="1416" w:type="dxa"/>
            <w:vMerge w:val="continue"/>
            <w:vAlign w:val="center"/>
          </w:tcPr>
          <w:p>
            <w:pPr>
              <w:widowControl/>
              <w:jc w:val="center"/>
              <w:rPr>
                <w:rFonts w:ascii="Times New Roman" w:hAnsi="Times New Roman" w:cs="Times New Roman"/>
                <w:color w:val="000000" w:themeColor="text1"/>
                <w:kern w:val="0"/>
                <w:sz w:val="24"/>
              </w:rPr>
            </w:pPr>
          </w:p>
        </w:tc>
        <w:tc>
          <w:tcPr>
            <w:tcW w:w="852" w:type="dxa"/>
            <w:vMerge w:val="continue"/>
            <w:vAlign w:val="center"/>
          </w:tcPr>
          <w:p>
            <w:pPr>
              <w:widowControl/>
              <w:jc w:val="center"/>
              <w:rPr>
                <w:rFonts w:ascii="Times New Roman" w:hAnsi="Times New Roman" w:cs="Times New Roman"/>
                <w:color w:val="000000" w:themeColor="text1"/>
                <w:kern w:val="0"/>
                <w:sz w:val="24"/>
              </w:rPr>
            </w:pP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 w:hRule="atLeast"/>
        </w:trPr>
        <w:tc>
          <w:tcPr>
            <w:tcW w:w="2238" w:type="dxa"/>
            <w:gridSpan w:val="2"/>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取水口</w:t>
            </w:r>
          </w:p>
        </w:tc>
        <w:tc>
          <w:tcPr>
            <w:tcW w:w="1984"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北纬</w:t>
            </w:r>
          </w:p>
        </w:tc>
        <w:tc>
          <w:tcPr>
            <w:tcW w:w="1416"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25°57'38.9"</w:t>
            </w:r>
          </w:p>
        </w:tc>
        <w:tc>
          <w:tcPr>
            <w:tcW w:w="85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东经</w:t>
            </w:r>
          </w:p>
        </w:tc>
        <w:tc>
          <w:tcPr>
            <w:tcW w:w="2032" w:type="dxa"/>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111°40'21.7"</w:t>
            </w:r>
          </w:p>
        </w:tc>
      </w:tr>
    </w:tbl>
    <w:p>
      <w:pPr>
        <w:rPr>
          <w:color w:val="000000" w:themeColor="text1"/>
        </w:rPr>
        <w:sectPr>
          <w:pgSz w:w="11906" w:h="16838"/>
          <w:pgMar w:top="1440" w:right="1800" w:bottom="1440" w:left="1800"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20" w:name="_Toc10435"/>
      <w:r>
        <w:rPr>
          <w:rFonts w:hint="eastAsia" w:ascii="仿宋_GB2312" w:eastAsia="仿宋_GB2312"/>
          <w:b w:val="0"/>
          <w:color w:val="000000" w:themeColor="text1"/>
        </w:rPr>
        <w:t>附件4</w:t>
      </w:r>
      <w:bookmarkEnd w:id="20"/>
    </w:p>
    <w:p>
      <w:pPr>
        <w:pStyle w:val="30"/>
        <w:spacing w:line="600" w:lineRule="exact"/>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单江水库</w:t>
      </w:r>
      <w:r>
        <w:rPr>
          <w:rFonts w:ascii="方正大标宋_GBK" w:eastAsia="方正大标宋_GBK"/>
          <w:color w:val="000000" w:themeColor="text1"/>
          <w:sz w:val="40"/>
          <w:szCs w:val="40"/>
        </w:rPr>
        <w:t>饮用水水源保护区划定方案</w:t>
      </w:r>
    </w:p>
    <w:p/>
    <w:tbl>
      <w:tblPr>
        <w:tblStyle w:val="17"/>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47"/>
        <w:gridCol w:w="501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47" w:type="dxa"/>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保护区名称</w:t>
            </w:r>
          </w:p>
        </w:tc>
        <w:tc>
          <w:tcPr>
            <w:tcW w:w="5011" w:type="dxa"/>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范围</w:t>
            </w:r>
          </w:p>
        </w:tc>
        <w:tc>
          <w:tcPr>
            <w:tcW w:w="1704" w:type="dxa"/>
            <w:vAlign w:val="center"/>
          </w:tcPr>
          <w:p>
            <w:pPr>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保护面积（km</w:t>
            </w:r>
            <w:r>
              <w:rPr>
                <w:rFonts w:ascii="Times New Roman" w:hAnsi="Times New Roman" w:cs="Times New Roman"/>
                <w:color w:val="000000" w:themeColor="text1"/>
                <w:kern w:val="0"/>
                <w:sz w:val="24"/>
                <w:vertAlign w:val="superscript"/>
              </w:rPr>
              <w:t>2</w:t>
            </w:r>
            <w:r>
              <w:rPr>
                <w:rFonts w:ascii="Times New Roman" w:hAnsi="Times New Roman" w:cs="Times New Roman"/>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47" w:type="dxa"/>
            <w:vMerge w:val="restart"/>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w:t>
            </w:r>
          </w:p>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w:t>
            </w:r>
          </w:p>
        </w:tc>
        <w:tc>
          <w:tcPr>
            <w:tcW w:w="50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水域：取水口半径300m范围内的区域。</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47" w:type="dxa"/>
            <w:vMerge w:val="continue"/>
            <w:vAlign w:val="center"/>
          </w:tcPr>
          <w:p>
            <w:pPr>
              <w:widowControl/>
              <w:spacing w:line="400" w:lineRule="exact"/>
              <w:jc w:val="center"/>
              <w:rPr>
                <w:rFonts w:ascii="Times New Roman" w:hAnsi="Times New Roman" w:cs="Times New Roman"/>
                <w:color w:val="000000" w:themeColor="text1"/>
                <w:kern w:val="0"/>
                <w:sz w:val="24"/>
              </w:rPr>
            </w:pPr>
          </w:p>
        </w:tc>
        <w:tc>
          <w:tcPr>
            <w:tcW w:w="50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陆域：取水口侧正常水位线以上200m范围内的陆域。</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47" w:type="dxa"/>
            <w:vMerge w:val="restart"/>
            <w:vAlign w:val="center"/>
          </w:tcPr>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p>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w:t>
            </w:r>
          </w:p>
        </w:tc>
        <w:tc>
          <w:tcPr>
            <w:tcW w:w="50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水域：一级保护区边界外的所有水域面积。</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47" w:type="dxa"/>
            <w:vMerge w:val="continue"/>
            <w:vAlign w:val="center"/>
          </w:tcPr>
          <w:p>
            <w:pPr>
              <w:snapToGrid w:val="0"/>
              <w:spacing w:line="400" w:lineRule="exact"/>
              <w:jc w:val="center"/>
              <w:rPr>
                <w:rFonts w:ascii="Times New Roman" w:hAnsi="Times New Roman" w:cs="Times New Roman"/>
                <w:color w:val="000000" w:themeColor="text1"/>
                <w:sz w:val="24"/>
              </w:rPr>
            </w:pPr>
          </w:p>
        </w:tc>
        <w:tc>
          <w:tcPr>
            <w:tcW w:w="5011" w:type="dxa"/>
            <w:vAlign w:val="center"/>
          </w:tcPr>
          <w:p>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陆域：集雨区以内（一级保护区以外）。</w:t>
            </w:r>
          </w:p>
        </w:tc>
        <w:tc>
          <w:tcPr>
            <w:tcW w:w="1704" w:type="dxa"/>
            <w:vAlign w:val="center"/>
          </w:tcPr>
          <w:p>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11.52</w:t>
            </w:r>
          </w:p>
        </w:tc>
      </w:tr>
    </w:tbl>
    <w:p>
      <w:pPr>
        <w:rPr>
          <w:color w:val="000000" w:themeColor="text1"/>
        </w:rPr>
      </w:pPr>
    </w:p>
    <w:p>
      <w:pPr>
        <w:rPr>
          <w:color w:val="000000" w:themeColor="text1"/>
        </w:rPr>
      </w:pPr>
    </w:p>
    <w:p>
      <w:pPr>
        <w:rPr>
          <w:color w:val="000000" w:themeColor="text1"/>
        </w:rPr>
        <w:sectPr>
          <w:pgSz w:w="11906" w:h="16838"/>
          <w:pgMar w:top="1440" w:right="1800" w:bottom="1440" w:left="1800"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21" w:name="_Toc15001"/>
      <w:r>
        <w:rPr>
          <w:rFonts w:hint="eastAsia" w:ascii="仿宋_GB2312" w:eastAsia="仿宋_GB2312"/>
          <w:b w:val="0"/>
          <w:color w:val="000000" w:themeColor="text1"/>
        </w:rPr>
        <w:t>附件5</w:t>
      </w:r>
      <w:bookmarkEnd w:id="21"/>
    </w:p>
    <w:p>
      <w:pPr>
        <w:pStyle w:val="30"/>
        <w:spacing w:line="600" w:lineRule="exact"/>
        <w:ind w:firstLine="0" w:firstLineChars="0"/>
        <w:jc w:val="center"/>
        <w:rPr>
          <w:rFonts w:hint="eastAsia" w:ascii="方正大标宋_GBK" w:eastAsia="方正大标宋_GBK"/>
          <w:color w:val="000000" w:themeColor="text1"/>
          <w:sz w:val="40"/>
          <w:szCs w:val="40"/>
        </w:rPr>
      </w:pPr>
      <w:r>
        <w:rPr>
          <w:rFonts w:ascii="方正大标宋_GBK" w:eastAsia="方正大标宋_GBK"/>
          <w:color w:val="000000" w:themeColor="text1"/>
          <w:sz w:val="40"/>
          <w:szCs w:val="40"/>
        </w:rPr>
        <w:t>单江</w:t>
      </w:r>
      <w:r>
        <w:rPr>
          <w:rFonts w:hint="eastAsia" w:ascii="方正大标宋_GBK" w:eastAsia="方正大标宋_GBK"/>
          <w:color w:val="000000" w:themeColor="text1"/>
          <w:sz w:val="40"/>
          <w:szCs w:val="40"/>
        </w:rPr>
        <w:t>水库</w:t>
      </w:r>
      <w:r>
        <w:rPr>
          <w:rFonts w:ascii="方正大标宋_GBK" w:eastAsia="方正大标宋_GBK"/>
          <w:color w:val="000000" w:themeColor="text1"/>
          <w:sz w:val="40"/>
          <w:szCs w:val="40"/>
        </w:rPr>
        <w:t>饮用水水源保护区拐点坐标一览表</w:t>
      </w:r>
    </w:p>
    <w:p/>
    <w:tbl>
      <w:tblPr>
        <w:tblStyle w:val="17"/>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78"/>
        <w:gridCol w:w="2267"/>
        <w:gridCol w:w="1278"/>
        <w:gridCol w:w="2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shd w:val="clear" w:color="auto" w:fill="auto"/>
            <w:vAlign w:val="center"/>
          </w:tcPr>
          <w:p>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名称</w:t>
            </w:r>
          </w:p>
        </w:tc>
        <w:tc>
          <w:tcPr>
            <w:tcW w:w="1278" w:type="dxa"/>
            <w:shd w:val="clear" w:color="auto" w:fill="auto"/>
            <w:vAlign w:val="center"/>
          </w:tcPr>
          <w:p>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界桩序号</w:t>
            </w:r>
          </w:p>
        </w:tc>
        <w:tc>
          <w:tcPr>
            <w:tcW w:w="2267" w:type="dxa"/>
            <w:shd w:val="clear" w:color="auto" w:fill="auto"/>
            <w:vAlign w:val="center"/>
          </w:tcPr>
          <w:p>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界桩坐标</w:t>
            </w:r>
          </w:p>
        </w:tc>
        <w:tc>
          <w:tcPr>
            <w:tcW w:w="1278" w:type="dxa"/>
            <w:shd w:val="clear" w:color="auto" w:fill="auto"/>
            <w:vAlign w:val="center"/>
          </w:tcPr>
          <w:p>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界桩序号</w:t>
            </w:r>
          </w:p>
        </w:tc>
        <w:tc>
          <w:tcPr>
            <w:tcW w:w="2267" w:type="dxa"/>
            <w:shd w:val="clear" w:color="auto" w:fill="auto"/>
            <w:vAlign w:val="center"/>
          </w:tcPr>
          <w:p>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取水口坐标</w:t>
            </w:r>
          </w:p>
        </w:tc>
        <w:tc>
          <w:tcPr>
            <w:tcW w:w="1278"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北纬</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25°52'32.8"</w:t>
            </w:r>
          </w:p>
        </w:tc>
        <w:tc>
          <w:tcPr>
            <w:tcW w:w="1278"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东经</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111°40'9.0"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一级保护区</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N：25°52'33.3"</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A6</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N：25°52'32.6"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E：111°40'09.5"</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E：111°39'58.2"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A2</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N：25°52'39.4"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A7</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E：111°40'08.3"</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A3</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N：25°52'42.5"</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A8</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N：25°52'23.2"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E：111°40'09.1"</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A4</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N：25°52'42.2"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A9</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N：25°52'27.7"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E：111°40'06.2"</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A5</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N：25°52'38.7"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A10</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E：111°40'00.5"</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二级保护区</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N：25°52'42.5"</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B12</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N：25°49'31.6"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E：111°40'09.1"</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E：111°39'39.1"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N：25°52'47.8"</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B13</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N：25°49'26.6"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E：111°40'12.2"</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B3</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N：25°52'59.9"</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B14</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N：25°49'47.3"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E：111°40'14.7"</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B4</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N：25°53'01.5"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B15</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N：25°50'36.2"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E：111°39'45.1"</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B5</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N：25°52'26.9"</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B16</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N：25°50'42.3"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E：111°39'36.5"</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B6</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N：25°51'05.3"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B17</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N：25°51'52.8"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E：111°39'23.7"</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B7</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N：25°50'39.0"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B18</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N：25°51'49.9"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E：111°39'15.2"</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E：111°41'07.9"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B8</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N：25°50'37.3"</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B19</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N：25°52'53.6"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shd w:val="clear" w:color="auto" w:fill="auto"/>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E：111°39'10.9"</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E：111°41'15.2"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B9</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N：25°50'10.8"</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B20</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E：111°39'01.8"</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B10</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N：25°50'13.0" </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B21</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N：25°52'26.9"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E：111°39'22.3"</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B11</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N：25°50'07.8"</w:t>
            </w:r>
          </w:p>
        </w:tc>
        <w:tc>
          <w:tcPr>
            <w:tcW w:w="1278" w:type="dxa"/>
            <w:vMerge w:val="restart"/>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B22</w:t>
            </w: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N：25°52'30.5"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2" w:type="dxa"/>
            <w:vMerge w:val="continue"/>
            <w:vAlign w:val="center"/>
          </w:tcPr>
          <w:p>
            <w:pPr>
              <w:widowControl/>
              <w:jc w:val="center"/>
              <w:rPr>
                <w:rFonts w:ascii="Times New Roman" w:hAnsi="Times New Roman" w:cs="Times New Roman"/>
                <w:color w:val="000000" w:themeColor="text1"/>
                <w:kern w:val="0"/>
                <w:sz w:val="24"/>
              </w:rPr>
            </w:pP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E：111°39'39.1"</w:t>
            </w:r>
          </w:p>
        </w:tc>
        <w:tc>
          <w:tcPr>
            <w:tcW w:w="1278" w:type="dxa"/>
            <w:vMerge w:val="continue"/>
            <w:vAlign w:val="center"/>
          </w:tcPr>
          <w:p>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E：111°40'11.3"</w:t>
            </w:r>
          </w:p>
        </w:tc>
      </w:tr>
    </w:tbl>
    <w:p>
      <w:pPr>
        <w:pStyle w:val="29"/>
        <w:numPr>
          <w:ilvl w:val="0"/>
          <w:numId w:val="0"/>
        </w:numPr>
        <w:ind w:left="420" w:hanging="420"/>
        <w:rPr>
          <w:rFonts w:hint="eastAsia" w:ascii="仿宋_GB2312" w:eastAsia="仿宋_GB2312"/>
          <w:b w:val="0"/>
          <w:color w:val="000000" w:themeColor="text1"/>
        </w:rPr>
      </w:pPr>
      <w:bookmarkStart w:id="22" w:name="_Toc13906"/>
      <w:r>
        <w:rPr>
          <w:rFonts w:hint="eastAsia" w:ascii="仿宋_GB2312" w:eastAsia="仿宋_GB2312"/>
          <w:b w:val="0"/>
          <w:color w:val="000000" w:themeColor="text1"/>
        </w:rPr>
        <w:t>附件6</w:t>
      </w:r>
      <w:bookmarkEnd w:id="22"/>
    </w:p>
    <w:p>
      <w:pPr>
        <w:pStyle w:val="30"/>
        <w:ind w:firstLine="0" w:firstLineChars="0"/>
        <w:rPr>
          <w:rFonts w:hint="eastAsia" w:asciiTheme="minorHAnsi" w:hAnsiTheme="minorHAnsi" w:eastAsiaTheme="minorEastAsia"/>
          <w:color w:val="000000" w:themeColor="text1"/>
          <w:kern w:val="2"/>
          <w:sz w:val="21"/>
        </w:rPr>
      </w:pPr>
    </w:p>
    <w:p>
      <w:pPr>
        <w:pStyle w:val="30"/>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双牌县小I型水库基本情况一览表</w:t>
      </w:r>
    </w:p>
    <w:tbl>
      <w:tblPr>
        <w:tblStyle w:val="17"/>
        <w:tblW w:w="8522" w:type="dxa"/>
        <w:tblInd w:w="0" w:type="dxa"/>
        <w:tblLayout w:type="fixed"/>
        <w:tblCellMar>
          <w:top w:w="0" w:type="dxa"/>
          <w:left w:w="108" w:type="dxa"/>
          <w:bottom w:w="0" w:type="dxa"/>
          <w:right w:w="108" w:type="dxa"/>
        </w:tblCellMar>
      </w:tblPr>
      <w:tblGrid>
        <w:gridCol w:w="817"/>
        <w:gridCol w:w="1533"/>
        <w:gridCol w:w="1433"/>
        <w:gridCol w:w="1202"/>
        <w:gridCol w:w="779"/>
        <w:gridCol w:w="1149"/>
        <w:gridCol w:w="1609"/>
      </w:tblGrid>
      <w:tr>
        <w:tblPrEx>
          <w:tblLayout w:type="fixed"/>
          <w:tblCellMar>
            <w:top w:w="0" w:type="dxa"/>
            <w:left w:w="108" w:type="dxa"/>
            <w:bottom w:w="0" w:type="dxa"/>
            <w:right w:w="108"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序号</w:t>
            </w:r>
          </w:p>
        </w:tc>
        <w:tc>
          <w:tcPr>
            <w:tcW w:w="15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水库名称</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所在乡镇</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总库容万m³</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坝高m</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集雨面积km</w:t>
            </w:r>
            <w:r>
              <w:rPr>
                <w:rFonts w:ascii="Times New Roman" w:hAnsi="Times New Roman" w:eastAsia="宋体" w:cs="Times New Roman"/>
                <w:b/>
                <w:bCs/>
                <w:color w:val="000000" w:themeColor="text1"/>
                <w:kern w:val="0"/>
                <w:sz w:val="24"/>
                <w:szCs w:val="24"/>
                <w:vertAlign w:val="superscript"/>
              </w:rPr>
              <w:t>2</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坝型</w:t>
            </w:r>
          </w:p>
        </w:tc>
      </w:tr>
      <w:tr>
        <w:tblPrEx>
          <w:tblLayout w:type="fixed"/>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1</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胡家洞水库</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泷泊镇</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492.5</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51.5</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57.5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砌石拱坝</w:t>
            </w:r>
          </w:p>
        </w:tc>
      </w:tr>
      <w:tr>
        <w:tblPrEx>
          <w:tblLayout w:type="fixed"/>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2</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七祖水库</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茶林镇</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610</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67</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94</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常态混凝土双曲拱坝</w:t>
            </w:r>
          </w:p>
        </w:tc>
      </w:tr>
      <w:tr>
        <w:tblPrEx>
          <w:tblLayout w:type="fixed"/>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3</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前进水库</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泷泊镇</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131.8</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31.3</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13.9</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均质土坝</w:t>
            </w:r>
          </w:p>
        </w:tc>
      </w:tr>
      <w:tr>
        <w:tblPrEx>
          <w:tblLayout w:type="fixed"/>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4</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向阳水库</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五里牌镇</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111.09</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20</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22.9</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均质土坝</w:t>
            </w:r>
          </w:p>
        </w:tc>
      </w:tr>
      <w:tr>
        <w:tblPrEx>
          <w:tblLayout w:type="fixed"/>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5</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朱里源水库</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理家坪乡</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358.9</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35</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3.51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粘土心墙坝</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sectPr>
          <w:pgSz w:w="11906" w:h="16838"/>
          <w:pgMar w:top="1440" w:right="1800" w:bottom="1440" w:left="1800" w:header="851" w:footer="992" w:gutter="0"/>
          <w:cols w:space="425" w:num="1"/>
          <w:docGrid w:type="lines" w:linePitch="312" w:charSpace="0"/>
        </w:sectPr>
      </w:pPr>
    </w:p>
    <w:p>
      <w:pPr>
        <w:pStyle w:val="29"/>
        <w:numPr>
          <w:ilvl w:val="0"/>
          <w:numId w:val="0"/>
        </w:numPr>
        <w:ind w:left="420" w:hanging="420"/>
        <w:rPr>
          <w:rFonts w:hint="eastAsia" w:ascii="仿宋_GB2312" w:eastAsia="仿宋_GB2312"/>
          <w:b w:val="0"/>
          <w:color w:val="000000" w:themeColor="text1"/>
        </w:rPr>
      </w:pPr>
      <w:bookmarkStart w:id="23" w:name="_Toc679"/>
      <w:r>
        <w:rPr>
          <w:rFonts w:hint="eastAsia" w:ascii="仿宋_GB2312" w:eastAsia="仿宋_GB2312"/>
          <w:b w:val="0"/>
          <w:color w:val="000000" w:themeColor="text1"/>
        </w:rPr>
        <w:t>附件7</w:t>
      </w:r>
      <w:bookmarkEnd w:id="23"/>
    </w:p>
    <w:p>
      <w:pPr>
        <w:pStyle w:val="30"/>
        <w:ind w:firstLine="0" w:firstLineChars="0"/>
        <w:jc w:val="center"/>
        <w:rPr>
          <w:rFonts w:hint="eastAsia" w:ascii="方正大标宋_GBK" w:eastAsia="方正大标宋_GBK"/>
          <w:color w:val="000000" w:themeColor="text1"/>
          <w:sz w:val="40"/>
          <w:szCs w:val="40"/>
        </w:rPr>
      </w:pPr>
      <w:r>
        <w:rPr>
          <w:rFonts w:hint="eastAsia" w:ascii="方正大标宋_GBK" w:eastAsia="方正大标宋_GBK"/>
          <w:color w:val="000000" w:themeColor="text1"/>
          <w:sz w:val="40"/>
          <w:szCs w:val="40"/>
        </w:rPr>
        <w:t>农村集中式饮用水源保护区基本情况一览表</w:t>
      </w:r>
    </w:p>
    <w:tbl>
      <w:tblPr>
        <w:tblStyle w:val="17"/>
        <w:tblW w:w="9640" w:type="dxa"/>
        <w:tblInd w:w="-662" w:type="dxa"/>
        <w:tblLayout w:type="fixed"/>
        <w:tblCellMar>
          <w:top w:w="0" w:type="dxa"/>
          <w:left w:w="108" w:type="dxa"/>
          <w:bottom w:w="0" w:type="dxa"/>
          <w:right w:w="108" w:type="dxa"/>
        </w:tblCellMar>
      </w:tblPr>
      <w:tblGrid>
        <w:gridCol w:w="709"/>
        <w:gridCol w:w="2127"/>
        <w:gridCol w:w="1829"/>
        <w:gridCol w:w="1432"/>
        <w:gridCol w:w="850"/>
        <w:gridCol w:w="2693"/>
      </w:tblGrid>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序号</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取水工程</w:t>
            </w:r>
          </w:p>
        </w:tc>
        <w:tc>
          <w:tcPr>
            <w:tcW w:w="1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经度</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纬度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水源</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饮用水水源保护区范围</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塘底乡集镇供水工程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25°57ˊ52.68〞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111°39´27.22〞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五里村供水工程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25°44ˊ57.02〞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111°42´43.36〞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莲塘村供水工程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25°41ˊ35.31〞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111°41´4.45〞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杨明湾村供水工程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26°1ˊ45.48〞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111°46´25.76〞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牙山村供水工程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26°0ˊ45.49〞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111°38´19.03〞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守木塘村供水工程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25°53ˊ12.69〞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111°39´58.19〞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朝阳庵村供水工程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25°52ˊ22.95〞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111°32´24.2〞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廖家村供水工程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25°58ˊ46.60〞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111°51´47.56〞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三家湾村供水工程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26°4ˊ18.13〞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111°49´57.33〞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桐子坳村供水工程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26°2ˊ0.20〞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111°51´1.20〞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盘家村供水工程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25°50ˊ67〞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111°41´58.69〞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观文口村供水工程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25°55ˊ41.45〞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111°38´53.58〞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永江河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柏梧塘村供水工程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26°2ˊ53.79〞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111°40´40.28〞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塘基上村供水工程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26°2ˊ40.74〞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111°36´57.18〞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田洞里村供水工程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26°3ˊ20.25〞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111°36´31.70〞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向阳河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清明田村供水工程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25°46ˊ28.03〞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111°45´39.31〞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社江河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胡家村供水工程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25°54ˊ8.16〞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111°39´38.64〞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72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零田洞村供水工程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25°38ˊ50.98〞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111°40´7.14〞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19</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冲头村供水工程</w:t>
            </w:r>
          </w:p>
        </w:tc>
        <w:tc>
          <w:tcPr>
            <w:tcW w:w="182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26°4ˊ11.04〞</w:t>
            </w:r>
          </w:p>
        </w:tc>
        <w:tc>
          <w:tcPr>
            <w:tcW w:w="14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111°41´49.06〞</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塘底村供水工程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25°56ˊ52.82〞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111°44´40.65〞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何家洞乡集镇供水工程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25°53ˊ38.40〞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111°30´05.30〞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盘家洞村供水工程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25°53ˊ38.21〞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111°35´51.97〞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永江河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新干桥、坦田联村供水</w:t>
            </w:r>
          </w:p>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25°40ˊ45.64〞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111°38´00.73〞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禄寿村供水工程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26°2ˊ33.37〞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111°42´9.50〞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老院子村供水工程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26°3ˊ34.59〞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111°50´22.10〞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上梧江乡集镇供水工程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25°51ˊ22.16〞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111°44´44.78〞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新院子村供水工程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26°3ˊ21.47〞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111°50´37.34〞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廖家湾村供水工程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26°5ˊ18.14〞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111°49´29.10〞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林家村供水工程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25°49ˊ23.52〞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111°48´30.23〞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社江河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麻园里村供水工程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26°2ˊ11.23〞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111°36´0.65〞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全家洲村供水工程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26°5ˊ2.71〞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111°36´54.29〞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新立村供水工程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25°51ˊ9.37〞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111°41´23.76〞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早禾田村供水工程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25°59ˊ11.22〞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111°47´29.24〞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罗皇庙村供水工程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26°6ˊ10.56〞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111°46´28.34〞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奉家村供水工程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25°51ˊ37.24〞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111°29´29.49〞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九甲村供水工程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25°55ˊ21.2〞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111°39´52.00〞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车龙村供水工程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25°34ˊ53.41〞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111°42´27.7〞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马蹄村供水工程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25°38ˊ15.34〞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111°40´47.08〞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霞灯村供水工程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25°58ˊ27.79〞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111°40´9.91〞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阳明山林场集镇供水</w:t>
            </w:r>
          </w:p>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26°03ˊ39.60〞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111°55´54.15〞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牟江口村供水工程</w:t>
            </w:r>
          </w:p>
        </w:tc>
        <w:tc>
          <w:tcPr>
            <w:tcW w:w="182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25°48ˊ39.82〞</w:t>
            </w:r>
          </w:p>
        </w:tc>
        <w:tc>
          <w:tcPr>
            <w:tcW w:w="14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111°41´57.58〞</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牟江河</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访尧村供水工程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25°44ˊ31.02〞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111°44´3.47〞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沙背甸村供水工程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26°0ˊ54.51〞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111°41´59.41〞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横江河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江村镇集镇供水工程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25°44ˊ20.90〞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111°43´11.84〞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盘大岭村供水工程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26°1ˊ53.86〞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111°36´6.97〞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五星岭乡集镇供水工程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25°44ˊ21.27〞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111°43´10.93〞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理家坪村杨柳塘自然村供水工程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25°40ˊ26.90〞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111°39´14.77〞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塘于洞村供水工程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25°41ˊ50.54〞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111°38´12.91〞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49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微波台供水工程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26°6ˊ58.87〞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111°54´34.32〞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何家村供水工程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25°43ˊ36.53〞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111°42´20.91〞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花坪村供水工程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25°42ˊ22.76〞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111°41´50.99〞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鳖栏江村供水工程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25°57ˊ41.51〞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111°53´22.15〞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五里牌镇集镇供水工程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26°02ˊ48.80〞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111°37´31.43〞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八一水库</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理家坪乡集镇供水工程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25°39ˊ09.65〞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111°39´13.13〞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25°57ˊ47.46〞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111°52´25.74〞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湾夫村供水工程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25°57ˊ38.50〞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111°50´59.91〞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打鼓坪乡集镇供水工程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25°43ˊ8.80〞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111°35´41.60〞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西河源</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茶林镇集镇供水工程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26°6ˊ54.20〞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111°49´12.47〞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59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江西村供水工程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26°1ˊ5.88〞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111°40´10.07〞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平福头乡集镇供水工程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26°3ˊ49.62〞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111°41´58.82〞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尚仁里乡集镇供水工程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25°53ˊ1.38〞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111°39´26.00〞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蒋家洞村供水工程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25°53ˊ10.35〞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111°29´34.72〞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刘家洞村供水工程</w:t>
            </w:r>
          </w:p>
        </w:tc>
        <w:tc>
          <w:tcPr>
            <w:tcW w:w="182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25°54ˊ46.09〞</w:t>
            </w:r>
          </w:p>
        </w:tc>
        <w:tc>
          <w:tcPr>
            <w:tcW w:w="14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111°30´41.95〞</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群力村供水工程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25°43ˊ11.54〞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111°39´45.60〞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双井村供水工程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25°43ˊ3.43〞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111°41´55.88〞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朝阳村供水工程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25°56ˊ25.23〞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111°42´9.65〞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胡家洞村供水工程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25°52ˊ29.26〞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111°35´0.08〞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永江河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岭脚村供水工程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26°0ˊ54.45〞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111°41´59.44〞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69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大兴江村供水工程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26°2ˊ38.98〞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111°47´29.37〞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孙家坪村供水工程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25°59ˊ45.84〞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111°44´4.49〞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二井江村供水工程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25°56ˊ22.22〞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111°31´37.62〞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大宅村供水工程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25°55ˊ15.66〞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111°32´8.40〞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白沙江村供水工程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25°54ˊ32.37〞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111°37´40.36〞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总管庙村供水工程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25°57ˊ59.81〞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111°38´2.43〞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溧江河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乌石、黑漯联村供水工程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25°44ˊ34.71〞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111°40´30.22〞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小岱供水工程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25°46ˊ30.48〞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111°46´35.53〞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25°46ˊ43.21〞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111°36´59.22〞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高枧村供水工程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25°51ˊ10.97〞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111°51´3.91〞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79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马家村供水工程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25°46ˊ42.62〞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111°48´5.93〞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清水村供水工程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25°55ˊ16.75〞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111°49´45.20〞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上北村供水工程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25°58ˊ8.70〞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111°47´12.07〞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全药冲村供水工程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26°8ˊ16.65〞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111°48´48.50〞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高峰供水工程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26°6ˊ54.20〞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111°51´58.12〞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雷家洞村供水工程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26°0ˊ29.95〞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111°49´18.53〞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东菖源村供水工程</w:t>
            </w:r>
          </w:p>
        </w:tc>
        <w:tc>
          <w:tcPr>
            <w:tcW w:w="182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26°4ˊ40.05〞</w:t>
            </w:r>
          </w:p>
        </w:tc>
        <w:tc>
          <w:tcPr>
            <w:tcW w:w="14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111°56´7.51〞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陈家村供水工程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26°0ˊ9.92〞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111°45´39.05〞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韩谭村供水工程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25°59ˊ3.19〞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111°38´13.47〞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金滩村供水工程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25°45ˊ52.70〞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111°44´7.27〞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89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槐树脚村供水工程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25°58ˊ16.02〞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111°26´54.68〞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粗石江村供水工程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25°53ˊ38.56〞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111°25´55.60〞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高潮村供水工程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25°56ˊ6.85〞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111°51´20.90〞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民智村供水工程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25°56ˊ29.64〞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111°51´16.78〞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通福村供水工程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25°57ˊ6.05〞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111°49´8.94〞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白果村供水工程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25°47ˊ56.34〞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111°40´0.45〞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牟江河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西河源村供水工程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25°45ˊ40.00〞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111°34´51.11〞</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西河源</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福禄村供水工程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25°52ˊ25.32〞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111°47´29.57〞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97</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低水坪村供水工程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25°55ˊ18.35〞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111°49´38.12〞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天坪村供水工程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25°56ˊ17.09〞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111°48´25.92〞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99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老屋张家供水工程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25°56ˊ4.03〞</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111°30´24.88〞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蔡里口村供水工程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25°55ˊ34.34〞</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111°26´15.07〞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贤水河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线口村供水工程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26°3ˊ25.58〞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111°38´44.98〞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良村供水工程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25°59ˊ40.27〞</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111°39´26.19〞</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 xml:space="preserve"> 地下水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新屋村供水工程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25°58ˊ5.18〞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111°50´4.18〞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104</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新田岭村供水工程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25°50ˊ35.85〞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111°46´37.74〞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105</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玉泉村供水工程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25°53ˊ57.28〞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111°42´6.25〞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106</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青春村马朝头自然村供水工程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25°53ˊ57.29〞</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111°42´6.26〞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木斗庙村供水工程</w:t>
            </w:r>
          </w:p>
        </w:tc>
        <w:tc>
          <w:tcPr>
            <w:tcW w:w="182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26°5ˊ52.28〞</w:t>
            </w:r>
          </w:p>
        </w:tc>
        <w:tc>
          <w:tcPr>
            <w:tcW w:w="14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111°44´9.76〞</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桴江河</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108</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小南头村供水工程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25°47ˊ17.32〞</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111°34´57.50〞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单江河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109</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佑里村供水工程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26°2ˊ0.81〞</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111°40´49.70〞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110</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大路口村供水工程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26°0ˊ11.05〞</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111°39´14.56〞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义村供水工程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25°57ˊ9.06〞</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111°38´52.27〞</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112</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牛栏坪村供水工程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25°59ˊ45.60〞</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111°48´16.20〞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麻江河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113</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五星村供水工程</w:t>
            </w:r>
          </w:p>
        </w:tc>
        <w:tc>
          <w:tcPr>
            <w:tcW w:w="18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26°0ˊ21.98〞</w:t>
            </w:r>
          </w:p>
        </w:tc>
        <w:tc>
          <w:tcPr>
            <w:tcW w:w="143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111°43´6.75〞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潇水河</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以取水口为中心，半径50米范围内陆域</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pgSz w:w="11906" w:h="16838"/>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195617"/>
    </w:sdtPr>
    <w:sdtContent>
      <w:p>
        <w:pPr>
          <w:pStyle w:val="10"/>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0D5F"/>
    <w:multiLevelType w:val="multilevel"/>
    <w:tmpl w:val="35000D5F"/>
    <w:lvl w:ilvl="0" w:tentative="0">
      <w:start w:val="1"/>
      <w:numFmt w:val="chineseCountingThousand"/>
      <w:pStyle w:val="2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C356BA"/>
    <w:multiLevelType w:val="multilevel"/>
    <w:tmpl w:val="60C356BA"/>
    <w:lvl w:ilvl="0" w:tentative="0">
      <w:start w:val="1"/>
      <w:numFmt w:val="decimal"/>
      <w:lvlText w:val="%1."/>
      <w:lvlJc w:val="left"/>
      <w:pPr>
        <w:ind w:left="1130" w:hanging="420"/>
      </w:pPr>
    </w:lvl>
    <w:lvl w:ilvl="1" w:tentative="0">
      <w:start w:val="1"/>
      <w:numFmt w:val="decimal"/>
      <w:lvlText w:val="%2．"/>
      <w:lvlJc w:val="left"/>
      <w:pPr>
        <w:ind w:left="1490" w:hanging="36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710C2FC9"/>
    <w:multiLevelType w:val="multilevel"/>
    <w:tmpl w:val="710C2FC9"/>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043A"/>
    <w:rsid w:val="00013D50"/>
    <w:rsid w:val="00025A8F"/>
    <w:rsid w:val="000302FD"/>
    <w:rsid w:val="000407AB"/>
    <w:rsid w:val="0004425A"/>
    <w:rsid w:val="00056F07"/>
    <w:rsid w:val="0005776A"/>
    <w:rsid w:val="00065095"/>
    <w:rsid w:val="000653C7"/>
    <w:rsid w:val="00066B01"/>
    <w:rsid w:val="00072620"/>
    <w:rsid w:val="0008104D"/>
    <w:rsid w:val="000828F0"/>
    <w:rsid w:val="00082BD0"/>
    <w:rsid w:val="00085973"/>
    <w:rsid w:val="00090860"/>
    <w:rsid w:val="000A1F0A"/>
    <w:rsid w:val="000A2E61"/>
    <w:rsid w:val="000B1210"/>
    <w:rsid w:val="000B2919"/>
    <w:rsid w:val="000B416E"/>
    <w:rsid w:val="000B6E15"/>
    <w:rsid w:val="000C4B9F"/>
    <w:rsid w:val="000C4E03"/>
    <w:rsid w:val="000D41C9"/>
    <w:rsid w:val="000E1BB3"/>
    <w:rsid w:val="000F0AB6"/>
    <w:rsid w:val="000F32D8"/>
    <w:rsid w:val="00103D2E"/>
    <w:rsid w:val="00111C67"/>
    <w:rsid w:val="0012027A"/>
    <w:rsid w:val="0014358D"/>
    <w:rsid w:val="0014394E"/>
    <w:rsid w:val="00146EB5"/>
    <w:rsid w:val="00147576"/>
    <w:rsid w:val="00152104"/>
    <w:rsid w:val="00171977"/>
    <w:rsid w:val="00175851"/>
    <w:rsid w:val="0017794E"/>
    <w:rsid w:val="00190A13"/>
    <w:rsid w:val="00193809"/>
    <w:rsid w:val="00195E4D"/>
    <w:rsid w:val="001A6072"/>
    <w:rsid w:val="001A6861"/>
    <w:rsid w:val="001B0ED1"/>
    <w:rsid w:val="001B558F"/>
    <w:rsid w:val="001B694F"/>
    <w:rsid w:val="001C246D"/>
    <w:rsid w:val="001C4490"/>
    <w:rsid w:val="001E079B"/>
    <w:rsid w:val="001E7CEE"/>
    <w:rsid w:val="001F2A9C"/>
    <w:rsid w:val="001F5CAF"/>
    <w:rsid w:val="001F7A87"/>
    <w:rsid w:val="00201B09"/>
    <w:rsid w:val="002028DC"/>
    <w:rsid w:val="00210CF6"/>
    <w:rsid w:val="002164DA"/>
    <w:rsid w:val="0022513E"/>
    <w:rsid w:val="0022685A"/>
    <w:rsid w:val="00226BD6"/>
    <w:rsid w:val="0023043A"/>
    <w:rsid w:val="00235969"/>
    <w:rsid w:val="00235A94"/>
    <w:rsid w:val="00240E5F"/>
    <w:rsid w:val="002438DB"/>
    <w:rsid w:val="00243BB9"/>
    <w:rsid w:val="00245B59"/>
    <w:rsid w:val="00246B08"/>
    <w:rsid w:val="00246E61"/>
    <w:rsid w:val="002524D6"/>
    <w:rsid w:val="002559A1"/>
    <w:rsid w:val="0026136E"/>
    <w:rsid w:val="00261860"/>
    <w:rsid w:val="00274932"/>
    <w:rsid w:val="00282FE0"/>
    <w:rsid w:val="0029138D"/>
    <w:rsid w:val="0029434B"/>
    <w:rsid w:val="002A21F7"/>
    <w:rsid w:val="002B301B"/>
    <w:rsid w:val="002C381A"/>
    <w:rsid w:val="002D77DF"/>
    <w:rsid w:val="002E1C52"/>
    <w:rsid w:val="002E73A6"/>
    <w:rsid w:val="002F3184"/>
    <w:rsid w:val="0030425E"/>
    <w:rsid w:val="00310CD6"/>
    <w:rsid w:val="00313830"/>
    <w:rsid w:val="00314EAE"/>
    <w:rsid w:val="0031556E"/>
    <w:rsid w:val="0032373F"/>
    <w:rsid w:val="003237CF"/>
    <w:rsid w:val="00326CF9"/>
    <w:rsid w:val="00330209"/>
    <w:rsid w:val="00332F60"/>
    <w:rsid w:val="00336B16"/>
    <w:rsid w:val="003969B2"/>
    <w:rsid w:val="003A00B3"/>
    <w:rsid w:val="003D56A7"/>
    <w:rsid w:val="003D7551"/>
    <w:rsid w:val="003E72E2"/>
    <w:rsid w:val="003F266E"/>
    <w:rsid w:val="003F6AD8"/>
    <w:rsid w:val="00406CB3"/>
    <w:rsid w:val="004077A9"/>
    <w:rsid w:val="00420FE7"/>
    <w:rsid w:val="00430ABF"/>
    <w:rsid w:val="004358D0"/>
    <w:rsid w:val="00435B36"/>
    <w:rsid w:val="00437972"/>
    <w:rsid w:val="00437B79"/>
    <w:rsid w:val="00445419"/>
    <w:rsid w:val="004455EE"/>
    <w:rsid w:val="004505B8"/>
    <w:rsid w:val="004508EA"/>
    <w:rsid w:val="00451CAA"/>
    <w:rsid w:val="00454ECC"/>
    <w:rsid w:val="00460DF4"/>
    <w:rsid w:val="00467C09"/>
    <w:rsid w:val="00467FFA"/>
    <w:rsid w:val="00472914"/>
    <w:rsid w:val="004778DA"/>
    <w:rsid w:val="00493DF7"/>
    <w:rsid w:val="004B47DF"/>
    <w:rsid w:val="004C00A0"/>
    <w:rsid w:val="004C18B6"/>
    <w:rsid w:val="004C42CE"/>
    <w:rsid w:val="004E2EF0"/>
    <w:rsid w:val="004E487F"/>
    <w:rsid w:val="004F2130"/>
    <w:rsid w:val="00503806"/>
    <w:rsid w:val="005060E9"/>
    <w:rsid w:val="00506128"/>
    <w:rsid w:val="005176C8"/>
    <w:rsid w:val="005204A6"/>
    <w:rsid w:val="00521B94"/>
    <w:rsid w:val="00521E30"/>
    <w:rsid w:val="0052770A"/>
    <w:rsid w:val="005318D3"/>
    <w:rsid w:val="00552E61"/>
    <w:rsid w:val="00563942"/>
    <w:rsid w:val="005706FF"/>
    <w:rsid w:val="00573DC9"/>
    <w:rsid w:val="005932A0"/>
    <w:rsid w:val="00593927"/>
    <w:rsid w:val="005B6CF8"/>
    <w:rsid w:val="005C0B9D"/>
    <w:rsid w:val="005C24F4"/>
    <w:rsid w:val="005C4C59"/>
    <w:rsid w:val="005C562D"/>
    <w:rsid w:val="005D331A"/>
    <w:rsid w:val="005D6F5E"/>
    <w:rsid w:val="005E10B5"/>
    <w:rsid w:val="005E3C71"/>
    <w:rsid w:val="005F5F78"/>
    <w:rsid w:val="005F674E"/>
    <w:rsid w:val="00603BD7"/>
    <w:rsid w:val="00620A8C"/>
    <w:rsid w:val="00625DAA"/>
    <w:rsid w:val="006300D9"/>
    <w:rsid w:val="0063155F"/>
    <w:rsid w:val="0063182A"/>
    <w:rsid w:val="00661099"/>
    <w:rsid w:val="00663C84"/>
    <w:rsid w:val="006653EC"/>
    <w:rsid w:val="00680C60"/>
    <w:rsid w:val="00683843"/>
    <w:rsid w:val="0069356D"/>
    <w:rsid w:val="00697F0D"/>
    <w:rsid w:val="006B43D9"/>
    <w:rsid w:val="006C1289"/>
    <w:rsid w:val="006C1793"/>
    <w:rsid w:val="006C3486"/>
    <w:rsid w:val="006C601B"/>
    <w:rsid w:val="006C7EC8"/>
    <w:rsid w:val="006D21EE"/>
    <w:rsid w:val="006D5D4F"/>
    <w:rsid w:val="006E40CA"/>
    <w:rsid w:val="006F1FE6"/>
    <w:rsid w:val="006F4312"/>
    <w:rsid w:val="006F4A77"/>
    <w:rsid w:val="00700DEE"/>
    <w:rsid w:val="00703F7F"/>
    <w:rsid w:val="00706B8C"/>
    <w:rsid w:val="00712466"/>
    <w:rsid w:val="00725A08"/>
    <w:rsid w:val="007302F6"/>
    <w:rsid w:val="00734C88"/>
    <w:rsid w:val="007353F9"/>
    <w:rsid w:val="00745C07"/>
    <w:rsid w:val="00753AF7"/>
    <w:rsid w:val="00754DFB"/>
    <w:rsid w:val="00766DDE"/>
    <w:rsid w:val="007857CA"/>
    <w:rsid w:val="007975F3"/>
    <w:rsid w:val="007A1965"/>
    <w:rsid w:val="007B483C"/>
    <w:rsid w:val="007B70CF"/>
    <w:rsid w:val="007C3278"/>
    <w:rsid w:val="007D14D9"/>
    <w:rsid w:val="007D49B4"/>
    <w:rsid w:val="007E1A20"/>
    <w:rsid w:val="007F401C"/>
    <w:rsid w:val="00835122"/>
    <w:rsid w:val="008475B8"/>
    <w:rsid w:val="00851880"/>
    <w:rsid w:val="00854F60"/>
    <w:rsid w:val="00857594"/>
    <w:rsid w:val="00857A58"/>
    <w:rsid w:val="00875963"/>
    <w:rsid w:val="008815D6"/>
    <w:rsid w:val="008B6967"/>
    <w:rsid w:val="008C38EA"/>
    <w:rsid w:val="008D1A69"/>
    <w:rsid w:val="008D290F"/>
    <w:rsid w:val="008D38B8"/>
    <w:rsid w:val="008E1C06"/>
    <w:rsid w:val="008E54EE"/>
    <w:rsid w:val="008F337E"/>
    <w:rsid w:val="008F3888"/>
    <w:rsid w:val="008F6877"/>
    <w:rsid w:val="00903806"/>
    <w:rsid w:val="00914FA8"/>
    <w:rsid w:val="0093071A"/>
    <w:rsid w:val="00950B8E"/>
    <w:rsid w:val="0095490E"/>
    <w:rsid w:val="00965AE5"/>
    <w:rsid w:val="0097766B"/>
    <w:rsid w:val="009836C7"/>
    <w:rsid w:val="009A2689"/>
    <w:rsid w:val="009A33CF"/>
    <w:rsid w:val="009A3705"/>
    <w:rsid w:val="009C331E"/>
    <w:rsid w:val="009C453A"/>
    <w:rsid w:val="009D7931"/>
    <w:rsid w:val="009E75E4"/>
    <w:rsid w:val="009E7CD8"/>
    <w:rsid w:val="009F01E2"/>
    <w:rsid w:val="00A033C9"/>
    <w:rsid w:val="00A043C1"/>
    <w:rsid w:val="00A04A53"/>
    <w:rsid w:val="00A12181"/>
    <w:rsid w:val="00A15414"/>
    <w:rsid w:val="00A30121"/>
    <w:rsid w:val="00A32B6B"/>
    <w:rsid w:val="00A5293D"/>
    <w:rsid w:val="00A542D5"/>
    <w:rsid w:val="00A66E76"/>
    <w:rsid w:val="00A75269"/>
    <w:rsid w:val="00A82457"/>
    <w:rsid w:val="00A90C63"/>
    <w:rsid w:val="00A9356D"/>
    <w:rsid w:val="00A94108"/>
    <w:rsid w:val="00AA3186"/>
    <w:rsid w:val="00AB4844"/>
    <w:rsid w:val="00AD20DE"/>
    <w:rsid w:val="00AD2D9F"/>
    <w:rsid w:val="00AD60B2"/>
    <w:rsid w:val="00AE324E"/>
    <w:rsid w:val="00AF5C3B"/>
    <w:rsid w:val="00AF5D0B"/>
    <w:rsid w:val="00B01DBA"/>
    <w:rsid w:val="00B1723A"/>
    <w:rsid w:val="00B20380"/>
    <w:rsid w:val="00B3342B"/>
    <w:rsid w:val="00B36783"/>
    <w:rsid w:val="00B40AA9"/>
    <w:rsid w:val="00B42A2B"/>
    <w:rsid w:val="00B4678E"/>
    <w:rsid w:val="00B52C37"/>
    <w:rsid w:val="00B54C36"/>
    <w:rsid w:val="00B55D2D"/>
    <w:rsid w:val="00B64C37"/>
    <w:rsid w:val="00B67A9D"/>
    <w:rsid w:val="00B754FA"/>
    <w:rsid w:val="00BB1E2F"/>
    <w:rsid w:val="00BB2D70"/>
    <w:rsid w:val="00BC282E"/>
    <w:rsid w:val="00BD29B4"/>
    <w:rsid w:val="00BD3346"/>
    <w:rsid w:val="00BD4518"/>
    <w:rsid w:val="00BE0563"/>
    <w:rsid w:val="00BE1B1C"/>
    <w:rsid w:val="00BE5F46"/>
    <w:rsid w:val="00BF0856"/>
    <w:rsid w:val="00C231E1"/>
    <w:rsid w:val="00C265FB"/>
    <w:rsid w:val="00C36600"/>
    <w:rsid w:val="00C42D45"/>
    <w:rsid w:val="00C9239B"/>
    <w:rsid w:val="00CA2ABC"/>
    <w:rsid w:val="00CA3584"/>
    <w:rsid w:val="00CA3A85"/>
    <w:rsid w:val="00CC01C2"/>
    <w:rsid w:val="00CC25A3"/>
    <w:rsid w:val="00CC7DF8"/>
    <w:rsid w:val="00D115E6"/>
    <w:rsid w:val="00D2033F"/>
    <w:rsid w:val="00D25A21"/>
    <w:rsid w:val="00D32C1E"/>
    <w:rsid w:val="00D35592"/>
    <w:rsid w:val="00D445DA"/>
    <w:rsid w:val="00D46F18"/>
    <w:rsid w:val="00D471F2"/>
    <w:rsid w:val="00D55B31"/>
    <w:rsid w:val="00D66C81"/>
    <w:rsid w:val="00D6770A"/>
    <w:rsid w:val="00D67E19"/>
    <w:rsid w:val="00D759FE"/>
    <w:rsid w:val="00D83AEE"/>
    <w:rsid w:val="00DA241C"/>
    <w:rsid w:val="00DB0268"/>
    <w:rsid w:val="00DB1596"/>
    <w:rsid w:val="00DB3F68"/>
    <w:rsid w:val="00DB714F"/>
    <w:rsid w:val="00DC0C6E"/>
    <w:rsid w:val="00DD2EA2"/>
    <w:rsid w:val="00DF6AA9"/>
    <w:rsid w:val="00E0031B"/>
    <w:rsid w:val="00E0192C"/>
    <w:rsid w:val="00E01E34"/>
    <w:rsid w:val="00E053EC"/>
    <w:rsid w:val="00E23730"/>
    <w:rsid w:val="00E2392D"/>
    <w:rsid w:val="00E26B87"/>
    <w:rsid w:val="00E30009"/>
    <w:rsid w:val="00E34FE7"/>
    <w:rsid w:val="00E43ED9"/>
    <w:rsid w:val="00E4535C"/>
    <w:rsid w:val="00E4663F"/>
    <w:rsid w:val="00E56516"/>
    <w:rsid w:val="00E70800"/>
    <w:rsid w:val="00E755EA"/>
    <w:rsid w:val="00E81D59"/>
    <w:rsid w:val="00E914C1"/>
    <w:rsid w:val="00E946F1"/>
    <w:rsid w:val="00EA0AA7"/>
    <w:rsid w:val="00EA16BE"/>
    <w:rsid w:val="00EB4186"/>
    <w:rsid w:val="00ED0AF4"/>
    <w:rsid w:val="00EE2824"/>
    <w:rsid w:val="00F076C0"/>
    <w:rsid w:val="00F07C6E"/>
    <w:rsid w:val="00F24469"/>
    <w:rsid w:val="00F27301"/>
    <w:rsid w:val="00F30C8A"/>
    <w:rsid w:val="00F46487"/>
    <w:rsid w:val="00F56082"/>
    <w:rsid w:val="00F60DCA"/>
    <w:rsid w:val="00F61425"/>
    <w:rsid w:val="00F70F72"/>
    <w:rsid w:val="00F94D9D"/>
    <w:rsid w:val="00FA1F09"/>
    <w:rsid w:val="00FC02BE"/>
    <w:rsid w:val="00FC19C9"/>
    <w:rsid w:val="00FC1A31"/>
    <w:rsid w:val="00FD022D"/>
    <w:rsid w:val="00FD2FD6"/>
    <w:rsid w:val="00FE3797"/>
    <w:rsid w:val="00FE53A2"/>
    <w:rsid w:val="00FF0D66"/>
    <w:rsid w:val="0D8916D0"/>
    <w:rsid w:val="2DBA3046"/>
    <w:rsid w:val="3B6164AF"/>
    <w:rsid w:val="4865385A"/>
    <w:rsid w:val="624338C1"/>
    <w:rsid w:val="695F315A"/>
    <w:rsid w:val="75EA0D67"/>
    <w:rsid w:val="79053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0"/>
    <w:pPr>
      <w:keepNext/>
      <w:keepLines/>
      <w:widowControl/>
      <w:adjustRightInd w:val="0"/>
      <w:snapToGrid w:val="0"/>
      <w:spacing w:line="412" w:lineRule="auto"/>
      <w:ind w:firstLine="960" w:firstLineChars="200"/>
      <w:jc w:val="left"/>
      <w:outlineLvl w:val="1"/>
    </w:pPr>
    <w:rPr>
      <w:rFonts w:ascii="Arial" w:hAnsi="Arial" w:eastAsia="黑体"/>
      <w:b/>
      <w:kern w:val="0"/>
      <w:sz w:val="32"/>
    </w:rPr>
  </w:style>
  <w:style w:type="paragraph" w:styleId="4">
    <w:name w:val="heading 3"/>
    <w:basedOn w:val="1"/>
    <w:next w:val="1"/>
    <w:link w:val="21"/>
    <w:semiHidden/>
    <w:unhideWhenUsed/>
    <w:qFormat/>
    <w:uiPriority w:val="0"/>
    <w:pPr>
      <w:keepNext/>
      <w:keepLines/>
      <w:widowControl/>
      <w:adjustRightInd w:val="0"/>
      <w:snapToGrid w:val="0"/>
      <w:spacing w:line="412" w:lineRule="auto"/>
      <w:ind w:firstLine="960" w:firstLineChars="200"/>
      <w:jc w:val="left"/>
      <w:outlineLvl w:val="2"/>
    </w:pPr>
    <w:rPr>
      <w:rFonts w:ascii="Tahoma" w:hAnsi="Tahoma" w:eastAsia="仿宋"/>
      <w:b/>
      <w:kern w:val="0"/>
      <w:sz w:val="32"/>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2"/>
    <w:semiHidden/>
    <w:unhideWhenUsed/>
    <w:qFormat/>
    <w:uiPriority w:val="0"/>
    <w:rPr>
      <w:rFonts w:ascii="宋体" w:eastAsia="宋体"/>
      <w:sz w:val="18"/>
      <w:szCs w:val="18"/>
    </w:rPr>
  </w:style>
  <w:style w:type="paragraph" w:styleId="6">
    <w:name w:val="Body Text"/>
    <w:basedOn w:val="1"/>
    <w:link w:val="23"/>
    <w:unhideWhenUsed/>
    <w:qFormat/>
    <w:uiPriority w:val="99"/>
    <w:pPr>
      <w:widowControl/>
      <w:adjustRightInd w:val="0"/>
      <w:snapToGrid w:val="0"/>
      <w:spacing w:after="120" w:line="360" w:lineRule="auto"/>
      <w:ind w:firstLine="960" w:firstLineChars="200"/>
      <w:jc w:val="left"/>
    </w:pPr>
    <w:rPr>
      <w:rFonts w:ascii="Tahoma" w:hAnsi="Tahoma" w:eastAsia="仿宋"/>
      <w:kern w:val="0"/>
      <w:sz w:val="32"/>
    </w:rPr>
  </w:style>
  <w:style w:type="paragraph" w:styleId="7">
    <w:name w:val="toc 3"/>
    <w:basedOn w:val="1"/>
    <w:next w:val="1"/>
    <w:unhideWhenUsed/>
    <w:qFormat/>
    <w:uiPriority w:val="39"/>
    <w:pPr>
      <w:ind w:left="840" w:leftChars="400"/>
    </w:pPr>
  </w:style>
  <w:style w:type="paragraph" w:styleId="8">
    <w:name w:val="Date"/>
    <w:basedOn w:val="1"/>
    <w:next w:val="1"/>
    <w:link w:val="24"/>
    <w:semiHidden/>
    <w:unhideWhenUsed/>
    <w:qFormat/>
    <w:uiPriority w:val="0"/>
    <w:pPr>
      <w:widowControl/>
      <w:adjustRightInd w:val="0"/>
      <w:snapToGrid w:val="0"/>
      <w:spacing w:line="360" w:lineRule="auto"/>
      <w:ind w:left="100" w:leftChars="2500" w:firstLine="960" w:firstLineChars="200"/>
      <w:jc w:val="left"/>
    </w:pPr>
    <w:rPr>
      <w:rFonts w:ascii="Tahoma" w:hAnsi="Tahoma" w:eastAsia="仿宋"/>
      <w:kern w:val="0"/>
      <w:sz w:val="32"/>
    </w:rPr>
  </w:style>
  <w:style w:type="paragraph" w:styleId="9">
    <w:name w:val="Balloon Text"/>
    <w:basedOn w:val="1"/>
    <w:link w:val="25"/>
    <w:semiHidden/>
    <w:unhideWhenUsed/>
    <w:qFormat/>
    <w:uiPriority w:val="0"/>
    <w:rPr>
      <w:sz w:val="18"/>
      <w:szCs w:val="18"/>
    </w:rPr>
  </w:style>
  <w:style w:type="paragraph" w:styleId="10">
    <w:name w:val="footer"/>
    <w:basedOn w:val="1"/>
    <w:link w:val="26"/>
    <w:unhideWhenUsed/>
    <w:qFormat/>
    <w:uiPriority w:val="0"/>
    <w:pPr>
      <w:tabs>
        <w:tab w:val="center" w:pos="4153"/>
        <w:tab w:val="right" w:pos="8306"/>
      </w:tabs>
      <w:snapToGrid w:val="0"/>
      <w:jc w:val="left"/>
    </w:pPr>
    <w:rPr>
      <w:sz w:val="18"/>
      <w:szCs w:val="18"/>
    </w:rPr>
  </w:style>
  <w:style w:type="paragraph" w:styleId="11">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left" w:pos="1134"/>
        <w:tab w:val="right" w:leader="dot" w:pos="8296"/>
      </w:tabs>
      <w:adjustRightInd w:val="0"/>
      <w:snapToGrid w:val="0"/>
      <w:spacing w:line="360" w:lineRule="auto"/>
      <w:ind w:firstLine="640" w:firstLineChars="200"/>
      <w:jc w:val="left"/>
    </w:pPr>
    <w:rPr>
      <w:rFonts w:ascii="Tahoma" w:hAnsi="Tahoma" w:eastAsia="仿宋"/>
      <w:kern w:val="0"/>
      <w:sz w:val="32"/>
    </w:rPr>
  </w:style>
  <w:style w:type="paragraph" w:styleId="13">
    <w:name w:val="toc 2"/>
    <w:basedOn w:val="1"/>
    <w:next w:val="1"/>
    <w:unhideWhenUsed/>
    <w:qFormat/>
    <w:uiPriority w:val="39"/>
    <w:pPr>
      <w:widowControl/>
      <w:adjustRightInd w:val="0"/>
      <w:snapToGrid w:val="0"/>
      <w:spacing w:line="360" w:lineRule="auto"/>
      <w:ind w:left="420" w:leftChars="200" w:firstLine="960" w:firstLineChars="200"/>
      <w:jc w:val="left"/>
    </w:pPr>
    <w:rPr>
      <w:rFonts w:ascii="Tahoma" w:hAnsi="Tahoma" w:eastAsia="仿宋"/>
      <w:kern w:val="0"/>
      <w:sz w:val="32"/>
    </w:rPr>
  </w:style>
  <w:style w:type="character" w:styleId="15">
    <w:name w:val="FollowedHyperlink"/>
    <w:basedOn w:val="14"/>
    <w:semiHidden/>
    <w:unhideWhenUsed/>
    <w:qFormat/>
    <w:uiPriority w:val="99"/>
    <w:rPr>
      <w:color w:val="800080" w:themeColor="followedHyperlink"/>
      <w:u w:val="single"/>
    </w:rPr>
  </w:style>
  <w:style w:type="character" w:styleId="16">
    <w:name w:val="Hyperlink"/>
    <w:basedOn w:val="14"/>
    <w:unhideWhenUsed/>
    <w:qFormat/>
    <w:uiPriority w:val="99"/>
    <w:rPr>
      <w:color w:val="0000FF" w:themeColor="hyperlink"/>
      <w:u w:val="single"/>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basedOn w:val="14"/>
    <w:link w:val="2"/>
    <w:qFormat/>
    <w:uiPriority w:val="0"/>
    <w:rPr>
      <w:b/>
      <w:bCs/>
      <w:kern w:val="44"/>
      <w:sz w:val="44"/>
      <w:szCs w:val="44"/>
    </w:rPr>
  </w:style>
  <w:style w:type="character" w:customStyle="1" w:styleId="20">
    <w:name w:val="标题 2 Char"/>
    <w:basedOn w:val="14"/>
    <w:link w:val="3"/>
    <w:semiHidden/>
    <w:qFormat/>
    <w:uiPriority w:val="0"/>
    <w:rPr>
      <w:rFonts w:ascii="Arial" w:hAnsi="Arial" w:eastAsia="黑体"/>
      <w:b/>
      <w:kern w:val="0"/>
      <w:sz w:val="32"/>
    </w:rPr>
  </w:style>
  <w:style w:type="character" w:customStyle="1" w:styleId="21">
    <w:name w:val="标题 3 Char"/>
    <w:basedOn w:val="14"/>
    <w:link w:val="4"/>
    <w:semiHidden/>
    <w:qFormat/>
    <w:uiPriority w:val="0"/>
    <w:rPr>
      <w:rFonts w:ascii="Tahoma" w:hAnsi="Tahoma" w:eastAsia="仿宋"/>
      <w:b/>
      <w:kern w:val="0"/>
      <w:sz w:val="32"/>
    </w:rPr>
  </w:style>
  <w:style w:type="character" w:customStyle="1" w:styleId="22">
    <w:name w:val="文档结构图 Char"/>
    <w:basedOn w:val="14"/>
    <w:link w:val="5"/>
    <w:semiHidden/>
    <w:qFormat/>
    <w:uiPriority w:val="0"/>
    <w:rPr>
      <w:rFonts w:ascii="宋体" w:eastAsia="宋体"/>
      <w:sz w:val="18"/>
      <w:szCs w:val="18"/>
    </w:rPr>
  </w:style>
  <w:style w:type="character" w:customStyle="1" w:styleId="23">
    <w:name w:val="正文文本 Char"/>
    <w:basedOn w:val="14"/>
    <w:link w:val="6"/>
    <w:uiPriority w:val="99"/>
    <w:rPr>
      <w:rFonts w:ascii="Tahoma" w:hAnsi="Tahoma" w:eastAsia="仿宋"/>
      <w:kern w:val="0"/>
      <w:sz w:val="32"/>
    </w:rPr>
  </w:style>
  <w:style w:type="character" w:customStyle="1" w:styleId="24">
    <w:name w:val="日期 Char"/>
    <w:basedOn w:val="14"/>
    <w:link w:val="8"/>
    <w:semiHidden/>
    <w:qFormat/>
    <w:uiPriority w:val="0"/>
    <w:rPr>
      <w:rFonts w:ascii="Tahoma" w:hAnsi="Tahoma" w:eastAsia="仿宋"/>
      <w:kern w:val="0"/>
      <w:sz w:val="32"/>
    </w:rPr>
  </w:style>
  <w:style w:type="character" w:customStyle="1" w:styleId="25">
    <w:name w:val="批注框文本 Char"/>
    <w:basedOn w:val="14"/>
    <w:link w:val="9"/>
    <w:semiHidden/>
    <w:qFormat/>
    <w:uiPriority w:val="0"/>
    <w:rPr>
      <w:sz w:val="18"/>
      <w:szCs w:val="18"/>
    </w:rPr>
  </w:style>
  <w:style w:type="character" w:customStyle="1" w:styleId="26">
    <w:name w:val="页脚 Char"/>
    <w:basedOn w:val="14"/>
    <w:link w:val="10"/>
    <w:qFormat/>
    <w:uiPriority w:val="0"/>
    <w:rPr>
      <w:sz w:val="18"/>
      <w:szCs w:val="18"/>
    </w:rPr>
  </w:style>
  <w:style w:type="character" w:customStyle="1" w:styleId="27">
    <w:name w:val="页眉 Char"/>
    <w:basedOn w:val="14"/>
    <w:link w:val="11"/>
    <w:qFormat/>
    <w:uiPriority w:val="0"/>
    <w:rPr>
      <w:sz w:val="18"/>
      <w:szCs w:val="18"/>
    </w:rPr>
  </w:style>
  <w:style w:type="paragraph" w:customStyle="1" w:styleId="28">
    <w:name w:val="TOC 标题1"/>
    <w:basedOn w:val="2"/>
    <w:next w:val="1"/>
    <w:semiHidden/>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9">
    <w:name w:val="b-标题1"/>
    <w:basedOn w:val="2"/>
    <w:next w:val="1"/>
    <w:qFormat/>
    <w:uiPriority w:val="0"/>
    <w:pPr>
      <w:widowControl/>
      <w:numPr>
        <w:ilvl w:val="0"/>
        <w:numId w:val="1"/>
      </w:numPr>
      <w:adjustRightInd w:val="0"/>
      <w:snapToGrid w:val="0"/>
      <w:spacing w:before="240" w:after="240" w:line="240" w:lineRule="auto"/>
      <w:jc w:val="left"/>
    </w:pPr>
    <w:rPr>
      <w:rFonts w:ascii="Times New Roman" w:hAnsi="Times New Roman" w:eastAsia="宋体"/>
      <w:bCs w:val="0"/>
      <w:sz w:val="32"/>
      <w:szCs w:val="22"/>
    </w:rPr>
  </w:style>
  <w:style w:type="paragraph" w:customStyle="1" w:styleId="30">
    <w:name w:val="b-正文"/>
    <w:basedOn w:val="1"/>
    <w:next w:val="1"/>
    <w:link w:val="31"/>
    <w:qFormat/>
    <w:uiPriority w:val="0"/>
    <w:pPr>
      <w:widowControl/>
      <w:adjustRightInd w:val="0"/>
      <w:snapToGrid w:val="0"/>
      <w:spacing w:line="360" w:lineRule="auto"/>
      <w:ind w:firstLine="960" w:firstLineChars="200"/>
      <w:jc w:val="left"/>
    </w:pPr>
    <w:rPr>
      <w:rFonts w:ascii="Times New Roman" w:hAnsi="Times New Roman" w:eastAsia="宋体"/>
      <w:kern w:val="0"/>
      <w:sz w:val="28"/>
    </w:rPr>
  </w:style>
  <w:style w:type="character" w:customStyle="1" w:styleId="31">
    <w:name w:val="b-正文 Char"/>
    <w:basedOn w:val="14"/>
    <w:link w:val="30"/>
    <w:qFormat/>
    <w:locked/>
    <w:uiPriority w:val="0"/>
    <w:rPr>
      <w:rFonts w:ascii="Times New Roman" w:hAnsi="Times New Roman" w:eastAsia="宋体"/>
      <w:sz w:val="28"/>
      <w:szCs w:val="22"/>
    </w:rPr>
  </w:style>
  <w:style w:type="paragraph" w:styleId="32">
    <w:name w:val="List Paragraph"/>
    <w:basedOn w:val="1"/>
    <w:qFormat/>
    <w:uiPriority w:val="99"/>
    <w:pPr>
      <w:widowControl/>
      <w:adjustRightInd w:val="0"/>
      <w:snapToGrid w:val="0"/>
      <w:spacing w:line="360" w:lineRule="auto"/>
      <w:ind w:firstLine="420" w:firstLineChars="200"/>
      <w:jc w:val="left"/>
    </w:pPr>
    <w:rPr>
      <w:rFonts w:ascii="Tahoma" w:hAnsi="Tahoma" w:eastAsia="仿宋"/>
      <w:kern w:val="0"/>
      <w:sz w:val="32"/>
    </w:rPr>
  </w:style>
  <w:style w:type="paragraph" w:customStyle="1" w:styleId="33">
    <w:name w:val="b-标题2"/>
    <w:basedOn w:val="3"/>
    <w:next w:val="1"/>
    <w:qFormat/>
    <w:uiPriority w:val="0"/>
    <w:pPr>
      <w:spacing w:before="120" w:after="120" w:line="240" w:lineRule="auto"/>
    </w:pPr>
    <w:rPr>
      <w:rFonts w:ascii="Times New Roman" w:hAnsi="Times New Roman" w:eastAsia="宋体"/>
      <w:sz w:val="2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b-标题3"/>
    <w:basedOn w:val="4"/>
    <w:next w:val="1"/>
    <w:qFormat/>
    <w:uiPriority w:val="0"/>
    <w:pPr>
      <w:spacing w:before="120" w:after="120" w:line="240" w:lineRule="auto"/>
    </w:pPr>
    <w:rPr>
      <w:rFonts w:ascii="Times New Roman" w:hAnsi="Times New Roman" w:eastAsia="宋体"/>
      <w:sz w:val="24"/>
    </w:rPr>
  </w:style>
  <w:style w:type="paragraph" w:customStyle="1" w:styleId="37">
    <w:name w:val="表格文字"/>
    <w:basedOn w:val="1"/>
    <w:qFormat/>
    <w:uiPriority w:val="0"/>
    <w:pPr>
      <w:widowControl/>
      <w:adjustRightInd w:val="0"/>
      <w:snapToGrid w:val="0"/>
      <w:jc w:val="center"/>
    </w:pPr>
    <w:rPr>
      <w:rFonts w:ascii="Times New Roman" w:hAnsi="Times New Roman" w:eastAsia="宋体"/>
      <w:kern w:val="0"/>
    </w:rPr>
  </w:style>
  <w:style w:type="paragraph" w:customStyle="1" w:styleId="38">
    <w:name w:val="b-表头"/>
    <w:basedOn w:val="1"/>
    <w:qFormat/>
    <w:uiPriority w:val="0"/>
    <w:pPr>
      <w:widowControl/>
      <w:adjustRightInd w:val="0"/>
      <w:snapToGrid w:val="0"/>
      <w:jc w:val="center"/>
    </w:pPr>
    <w:rPr>
      <w:rFonts w:ascii="Times New Roman" w:hAnsi="Times New Roman" w:eastAsia="宋体"/>
      <w:kern w:val="0"/>
      <w:sz w:val="24"/>
    </w:rPr>
  </w:style>
  <w:style w:type="character" w:customStyle="1" w:styleId="39">
    <w:name w:val="font21"/>
    <w:basedOn w:val="14"/>
    <w:qFormat/>
    <w:uiPriority w:val="0"/>
    <w:rPr>
      <w:rFonts w:hint="eastAsia" w:ascii="宋体" w:hAnsi="宋体" w:eastAsia="宋体" w:cs="宋体"/>
      <w:color w:val="000000"/>
      <w:sz w:val="20"/>
      <w:szCs w:val="20"/>
      <w:u w:val="none"/>
    </w:rPr>
  </w:style>
  <w:style w:type="character" w:customStyle="1" w:styleId="40">
    <w:name w:val="font51"/>
    <w:basedOn w:val="14"/>
    <w:qFormat/>
    <w:uiPriority w:val="0"/>
    <w:rPr>
      <w:rFonts w:hint="default" w:ascii="Arial" w:hAnsi="Arial" w:cs="Arial"/>
      <w:color w:val="000000"/>
      <w:sz w:val="20"/>
      <w:szCs w:val="20"/>
      <w:u w:val="none"/>
    </w:rPr>
  </w:style>
  <w:style w:type="character" w:customStyle="1" w:styleId="41">
    <w:name w:val="b-表内文字"/>
    <w:basedOn w:val="14"/>
    <w:qFormat/>
    <w:uiPriority w:val="0"/>
    <w:rPr>
      <w:rFonts w:hint="default" w:ascii="Times New Roman" w:hAnsi="Times New Roman" w:eastAsia="宋体" w:cs="Times New Roman"/>
      <w:sz w:val="21"/>
    </w:rPr>
  </w:style>
  <w:style w:type="paragraph" w:customStyle="1" w:styleId="42">
    <w:name w:val="font5"/>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3">
    <w:name w:val="font6"/>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4">
    <w:name w:val="font7"/>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4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6">
    <w:name w:val="font9"/>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47">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xl200"/>
    <w:basedOn w:val="1"/>
    <w:qFormat/>
    <w:uiPriority w:val="0"/>
    <w:pPr>
      <w:widowControl/>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49">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51">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52">
    <w:name w:val="xl2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txt"/>
    <w:basedOn w:val="1"/>
    <w:qFormat/>
    <w:uiPriority w:val="99"/>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0A0F9-E459-48C1-8CD6-58EE4B2C1E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3044</Words>
  <Characters>17351</Characters>
  <Lines>144</Lines>
  <Paragraphs>40</Paragraphs>
  <TotalTime>144</TotalTime>
  <ScaleCrop>false</ScaleCrop>
  <LinksUpToDate>false</LinksUpToDate>
  <CharactersWithSpaces>20355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2020-02-23T01:53:00Z</dcterms:created>
  <dc:creator>微软用户</dc:creator>
  <cp:lastModifiedBy>刘亚玲</cp:lastModifiedBy>
  <cp:lastPrinted>2020-02-27T10:25:00Z</cp:lastPrinted>
  <dcterms:modified xsi:type="dcterms:W3CDTF">2020-02-28T02:52:37Z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