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C6A9">
      <w:pPr>
        <w:jc w:val="center"/>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44"/>
          <w:szCs w:val="44"/>
          <w:lang w:eastAsia="zh-CN"/>
          <w14:textFill>
            <w14:solidFill>
              <w14:schemeClr w14:val="tx1"/>
            </w14:solidFill>
          </w14:textFill>
        </w:rPr>
        <w:t>双牌县</w:t>
      </w:r>
      <w:r>
        <w:rPr>
          <w:rFonts w:hint="eastAsia" w:ascii="仿宋_GB2312" w:hAnsi="仿宋_GB2312" w:eastAsia="仿宋_GB2312" w:cs="仿宋_GB2312"/>
          <w:color w:val="000000" w:themeColor="text1"/>
          <w:sz w:val="44"/>
          <w:szCs w:val="44"/>
          <w14:textFill>
            <w14:solidFill>
              <w14:schemeClr w14:val="tx1"/>
            </w14:solidFill>
          </w14:textFill>
        </w:rPr>
        <w:t>推进</w:t>
      </w:r>
      <w:r>
        <w:rPr>
          <w:rFonts w:hint="eastAsia" w:ascii="仿宋_GB2312" w:hAnsi="仿宋_GB2312" w:eastAsia="仿宋_GB2312" w:cs="仿宋_GB2312"/>
          <w:color w:val="000000" w:themeColor="text1"/>
          <w:sz w:val="44"/>
          <w:szCs w:val="44"/>
          <w:lang w:eastAsia="zh-CN"/>
          <w14:textFill>
            <w14:solidFill>
              <w14:schemeClr w14:val="tx1"/>
            </w14:solidFill>
          </w14:textFill>
        </w:rPr>
        <w:t>工</w:t>
      </w:r>
      <w:r>
        <w:rPr>
          <w:rFonts w:hint="eastAsia" w:ascii="仿宋_GB2312" w:hAnsi="仿宋_GB2312" w:eastAsia="仿宋_GB2312" w:cs="仿宋_GB2312"/>
          <w:color w:val="000000" w:themeColor="text1"/>
          <w:sz w:val="44"/>
          <w:szCs w:val="44"/>
          <w14:textFill>
            <w14:solidFill>
              <w14:schemeClr w14:val="tx1"/>
            </w14:solidFill>
          </w14:textFill>
        </w:rPr>
        <w:t>业高质量发展若干措施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（试行）</w:t>
      </w:r>
    </w:p>
    <w:p w14:paraId="6DEF9C51">
      <w:pPr>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（征求意见稿）</w:t>
      </w:r>
    </w:p>
    <w:p w14:paraId="1E2F2171">
      <w:pPr>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CF1380B">
      <w:pPr>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为加快推进新型工业化，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围绕园区“一主一特”</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产业体系，因地制宜发展新质生产力,推动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业高质量发展，根据《中共湖南省委湖南省人民政府关于加快推进新型工业化打造国家重要先进制造业高地的实施意见》(湘发〔2024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4号)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永州市人民政府关于印发永州市</w:t>
      </w:r>
      <w:r>
        <w:rPr>
          <w:rFonts w:hint="eastAsia" w:ascii="仿宋_GB2312" w:hAnsi="仿宋_GB2312" w:eastAsia="仿宋_GB2312" w:cs="仿宋_GB2312"/>
          <w:color w:val="000000" w:themeColor="text1"/>
          <w:sz w:val="32"/>
          <w:szCs w:val="32"/>
          <w14:textFill>
            <w14:solidFill>
              <w14:schemeClr w14:val="tx1"/>
            </w14:solidFill>
          </w14:textFill>
        </w:rPr>
        <w:t>推动先进制造业高质量发展若干措施》</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永政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号)等文件精神，结合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实际，特制定以下措施。</w:t>
      </w:r>
    </w:p>
    <w:p w14:paraId="5D74AF34">
      <w:pPr>
        <w:pStyle w:val="2"/>
        <w:ind w:firstLine="643"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pacing w:val="0"/>
          <w:sz w:val="32"/>
          <w:szCs w:val="32"/>
          <w:lang w:val="en-US" w:eastAsia="zh-CN"/>
          <w14:textFill>
            <w14:solidFill>
              <w14:schemeClr w14:val="tx1"/>
            </w14:solidFill>
          </w14:textFill>
        </w:rPr>
        <w:t>1.鼓励企业自主创新扩大投资规模</w:t>
      </w:r>
      <w:r>
        <w:rPr>
          <w:rFonts w:hint="eastAsia" w:ascii="仿宋" w:hAnsi="仿宋" w:eastAsia="仿宋" w:cs="仿宋"/>
          <w:color w:val="000000" w:themeColor="text1"/>
          <w:spacing w:val="0"/>
          <w:sz w:val="32"/>
          <w:szCs w:val="32"/>
          <w14:textFill>
            <w14:solidFill>
              <w14:schemeClr w14:val="tx1"/>
            </w14:solidFill>
          </w14:textFill>
        </w:rPr>
        <w:t>。</w:t>
      </w:r>
      <w:r>
        <w:rPr>
          <w:rFonts w:hint="eastAsia" w:ascii="仿宋" w:hAnsi="仿宋" w:eastAsia="仿宋" w:cs="仿宋"/>
          <w:color w:val="000000" w:themeColor="text1"/>
          <w:spacing w:val="0"/>
          <w:sz w:val="32"/>
          <w:szCs w:val="32"/>
          <w:lang w:eastAsia="zh-CN"/>
          <w14:textFill>
            <w14:solidFill>
              <w14:schemeClr w14:val="tx1"/>
            </w14:solidFill>
          </w14:textFill>
        </w:rPr>
        <w:t>对新增投资项目（</w:t>
      </w:r>
      <w:r>
        <w:rPr>
          <w:rFonts w:hint="eastAsia" w:ascii="仿宋" w:hAnsi="仿宋" w:eastAsia="仿宋" w:cs="仿宋"/>
          <w:color w:val="000000" w:themeColor="text1"/>
          <w:spacing w:val="0"/>
          <w:sz w:val="32"/>
          <w:szCs w:val="32"/>
          <w:lang w:val="en-US" w:eastAsia="zh-CN"/>
          <w14:textFill>
            <w14:solidFill>
              <w14:schemeClr w14:val="tx1"/>
            </w14:solidFill>
          </w14:textFill>
        </w:rPr>
        <w:t>含老项目扩产扩能</w:t>
      </w:r>
      <w:r>
        <w:rPr>
          <w:rFonts w:hint="eastAsia" w:ascii="仿宋" w:hAnsi="仿宋" w:eastAsia="仿宋" w:cs="仿宋"/>
          <w:color w:val="000000" w:themeColor="text1"/>
          <w:spacing w:val="0"/>
          <w:sz w:val="32"/>
          <w:szCs w:val="32"/>
          <w:lang w:eastAsia="zh-CN"/>
          <w14:textFill>
            <w14:solidFill>
              <w14:schemeClr w14:val="tx1"/>
            </w14:solidFill>
          </w14:textFill>
        </w:rPr>
        <w:t>），按当年新增设备投资额（以开具进项增值税发票额为准</w:t>
      </w:r>
      <w:r>
        <w:rPr>
          <w:rFonts w:hint="eastAsia" w:ascii="仿宋" w:hAnsi="仿宋" w:eastAsia="仿宋" w:cs="仿宋"/>
          <w:color w:val="000000" w:themeColor="text1"/>
          <w:spacing w:val="0"/>
          <w:sz w:val="32"/>
          <w:szCs w:val="32"/>
          <w:lang w:val="en-US" w:eastAsia="zh-CN"/>
          <w14:textFill>
            <w14:solidFill>
              <w14:schemeClr w14:val="tx1"/>
            </w14:solidFill>
          </w14:textFill>
        </w:rPr>
        <w:t>并登记为本企业固定资产</w:t>
      </w:r>
      <w:r>
        <w:rPr>
          <w:rFonts w:hint="eastAsia" w:ascii="仿宋" w:hAnsi="仿宋" w:eastAsia="仿宋" w:cs="仿宋"/>
          <w:color w:val="000000" w:themeColor="text1"/>
          <w:spacing w:val="0"/>
          <w:sz w:val="32"/>
          <w:szCs w:val="32"/>
          <w:lang w:eastAsia="zh-CN"/>
          <w14:textFill>
            <w14:solidFill>
              <w14:schemeClr w14:val="tx1"/>
            </w14:solidFill>
          </w14:textFill>
        </w:rPr>
        <w:t>）一定比例给予补贴用于研发投入。</w:t>
      </w:r>
      <w:r>
        <w:rPr>
          <w:rFonts w:hint="eastAsia" w:ascii="仿宋" w:hAnsi="仿宋" w:eastAsia="仿宋" w:cs="仿宋"/>
          <w:color w:val="000000" w:themeColor="text1"/>
          <w:spacing w:val="0"/>
          <w:sz w:val="32"/>
          <w:szCs w:val="32"/>
          <w14:textFill>
            <w14:solidFill>
              <w14:schemeClr w14:val="tx1"/>
            </w14:solidFill>
          </w14:textFill>
        </w:rPr>
        <w:t>对</w:t>
      </w:r>
      <w:r>
        <w:rPr>
          <w:rFonts w:hint="eastAsia" w:ascii="仿宋" w:hAnsi="仿宋" w:eastAsia="仿宋" w:cs="仿宋"/>
          <w:color w:val="000000" w:themeColor="text1"/>
          <w:spacing w:val="0"/>
          <w:sz w:val="32"/>
          <w:szCs w:val="32"/>
          <w:lang w:eastAsia="zh-CN"/>
          <w14:textFill>
            <w14:solidFill>
              <w14:schemeClr w14:val="tx1"/>
            </w14:solidFill>
          </w14:textFill>
        </w:rPr>
        <w:t>投资额500万元(含)一</w:t>
      </w:r>
      <w:r>
        <w:rPr>
          <w:rFonts w:hint="eastAsia" w:ascii="仿宋" w:hAnsi="仿宋" w:eastAsia="仿宋" w:cs="仿宋"/>
          <w:color w:val="000000" w:themeColor="text1"/>
          <w:spacing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sz w:val="32"/>
          <w:szCs w:val="32"/>
          <w:lang w:eastAsia="zh-CN"/>
          <w14:textFill>
            <w14:solidFill>
              <w14:schemeClr w14:val="tx1"/>
            </w14:solidFill>
          </w14:textFill>
        </w:rPr>
        <w:t>000万元(不含)的，按</w:t>
      </w:r>
      <w:r>
        <w:rPr>
          <w:rFonts w:hint="eastAsia" w:ascii="仿宋" w:hAnsi="仿宋" w:eastAsia="仿宋" w:cs="仿宋"/>
          <w:color w:val="000000" w:themeColor="text1"/>
          <w:spacing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sz w:val="32"/>
          <w:szCs w:val="32"/>
          <w:lang w:eastAsia="zh-CN"/>
          <w14:textFill>
            <w14:solidFill>
              <w14:schemeClr w14:val="tx1"/>
            </w14:solidFill>
          </w14:textFill>
        </w:rPr>
        <w:t>%给予补贴;</w:t>
      </w:r>
      <w:r>
        <w:rPr>
          <w:rFonts w:hint="eastAsia" w:ascii="仿宋" w:hAnsi="仿宋" w:eastAsia="仿宋" w:cs="仿宋"/>
          <w:color w:val="000000" w:themeColor="text1"/>
          <w:spacing w:val="0"/>
          <w:sz w:val="32"/>
          <w:szCs w:val="32"/>
          <w14:textFill>
            <w14:solidFill>
              <w14:schemeClr w14:val="tx1"/>
            </w14:solidFill>
          </w14:textFill>
        </w:rPr>
        <w:t>对</w:t>
      </w:r>
      <w:r>
        <w:rPr>
          <w:rFonts w:hint="eastAsia" w:ascii="仿宋" w:hAnsi="仿宋" w:eastAsia="仿宋" w:cs="仿宋"/>
          <w:color w:val="000000" w:themeColor="text1"/>
          <w:spacing w:val="0"/>
          <w:sz w:val="32"/>
          <w:szCs w:val="32"/>
          <w:lang w:eastAsia="zh-CN"/>
          <w14:textFill>
            <w14:solidFill>
              <w14:schemeClr w14:val="tx1"/>
            </w14:solidFill>
          </w14:textFill>
        </w:rPr>
        <w:t>投资额</w:t>
      </w:r>
      <w:r>
        <w:rPr>
          <w:rFonts w:hint="eastAsia" w:ascii="仿宋" w:hAnsi="仿宋" w:eastAsia="仿宋" w:cs="仿宋"/>
          <w:color w:val="000000" w:themeColor="text1"/>
          <w:spacing w:val="0"/>
          <w:sz w:val="32"/>
          <w:szCs w:val="32"/>
          <w:lang w:val="en-US" w:eastAsia="zh-CN"/>
          <w14:textFill>
            <w14:solidFill>
              <w14:schemeClr w14:val="tx1"/>
            </w14:solidFill>
          </w14:textFill>
        </w:rPr>
        <w:t>2</w:t>
      </w:r>
      <w:r>
        <w:rPr>
          <w:rFonts w:hint="eastAsia" w:ascii="仿宋" w:hAnsi="仿宋" w:eastAsia="仿宋" w:cs="仿宋"/>
          <w:color w:val="000000" w:themeColor="text1"/>
          <w:spacing w:val="0"/>
          <w:sz w:val="32"/>
          <w:szCs w:val="32"/>
          <w:lang w:eastAsia="zh-CN"/>
          <w14:textFill>
            <w14:solidFill>
              <w14:schemeClr w14:val="tx1"/>
            </w14:solidFill>
          </w14:textFill>
        </w:rPr>
        <w:t>00</w:t>
      </w:r>
      <w:r>
        <w:rPr>
          <w:rFonts w:hint="eastAsia" w:ascii="仿宋" w:hAnsi="仿宋" w:eastAsia="仿宋" w:cs="仿宋"/>
          <w:color w:val="000000" w:themeColor="text1"/>
          <w:spacing w:val="0"/>
          <w:sz w:val="32"/>
          <w:szCs w:val="32"/>
          <w:lang w:val="en-US" w:eastAsia="zh-CN"/>
          <w14:textFill>
            <w14:solidFill>
              <w14:schemeClr w14:val="tx1"/>
            </w14:solidFill>
          </w14:textFill>
        </w:rPr>
        <w:t>0</w:t>
      </w:r>
      <w:r>
        <w:rPr>
          <w:rFonts w:hint="eastAsia" w:ascii="仿宋" w:hAnsi="仿宋" w:eastAsia="仿宋" w:cs="仿宋"/>
          <w:color w:val="000000" w:themeColor="text1"/>
          <w:spacing w:val="0"/>
          <w:sz w:val="32"/>
          <w:szCs w:val="32"/>
          <w:lang w:eastAsia="zh-CN"/>
          <w14:textFill>
            <w14:solidFill>
              <w14:schemeClr w14:val="tx1"/>
            </w14:solidFill>
          </w14:textFill>
        </w:rPr>
        <w:t>万元(含)一</w:t>
      </w:r>
      <w:r>
        <w:rPr>
          <w:rFonts w:hint="eastAsia" w:ascii="仿宋" w:hAnsi="仿宋" w:eastAsia="仿宋" w:cs="仿宋"/>
          <w:color w:val="000000" w:themeColor="text1"/>
          <w:spacing w:val="0"/>
          <w:sz w:val="32"/>
          <w:szCs w:val="32"/>
          <w:lang w:val="en-US" w:eastAsia="zh-CN"/>
          <w14:textFill>
            <w14:solidFill>
              <w14:schemeClr w14:val="tx1"/>
            </w14:solidFill>
          </w14:textFill>
        </w:rPr>
        <w:t>5</w:t>
      </w:r>
      <w:r>
        <w:rPr>
          <w:rFonts w:hint="eastAsia" w:ascii="仿宋" w:hAnsi="仿宋" w:eastAsia="仿宋" w:cs="仿宋"/>
          <w:color w:val="000000" w:themeColor="text1"/>
          <w:spacing w:val="0"/>
          <w:sz w:val="32"/>
          <w:szCs w:val="32"/>
          <w:lang w:eastAsia="zh-CN"/>
          <w14:textFill>
            <w14:solidFill>
              <w14:schemeClr w14:val="tx1"/>
            </w14:solidFill>
          </w14:textFill>
        </w:rPr>
        <w:t>000万元(不含)的，按</w:t>
      </w:r>
      <w:r>
        <w:rPr>
          <w:rFonts w:hint="eastAsia" w:ascii="仿宋" w:hAnsi="仿宋" w:eastAsia="仿宋" w:cs="仿宋"/>
          <w:color w:val="000000" w:themeColor="text1"/>
          <w:spacing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sz w:val="32"/>
          <w:szCs w:val="32"/>
          <w:lang w:eastAsia="zh-CN"/>
          <w14:textFill>
            <w14:solidFill>
              <w14:schemeClr w14:val="tx1"/>
            </w14:solidFill>
          </w14:textFill>
        </w:rPr>
        <w:t>%给予补贴;对新增投资额5000万元(含)以上的，按</w:t>
      </w:r>
      <w:r>
        <w:rPr>
          <w:rFonts w:hint="eastAsia" w:ascii="仿宋" w:hAnsi="仿宋" w:eastAsia="仿宋" w:cs="仿宋"/>
          <w:color w:val="000000" w:themeColor="text1"/>
          <w:spacing w:val="0"/>
          <w:sz w:val="32"/>
          <w:szCs w:val="32"/>
          <w:lang w:val="en-US" w:eastAsia="zh-CN"/>
          <w14:textFill>
            <w14:solidFill>
              <w14:schemeClr w14:val="tx1"/>
            </w14:solidFill>
          </w14:textFill>
        </w:rPr>
        <w:t>6</w:t>
      </w:r>
      <w:r>
        <w:rPr>
          <w:rFonts w:hint="eastAsia" w:ascii="仿宋" w:hAnsi="仿宋" w:eastAsia="仿宋" w:cs="仿宋"/>
          <w:color w:val="000000" w:themeColor="text1"/>
          <w:spacing w:val="0"/>
          <w:sz w:val="32"/>
          <w:szCs w:val="32"/>
          <w:lang w:eastAsia="zh-CN"/>
          <w14:textFill>
            <w14:solidFill>
              <w14:schemeClr w14:val="tx1"/>
            </w14:solidFill>
          </w14:textFill>
        </w:rPr>
        <w:t>%给予补贴;</w:t>
      </w:r>
      <w:r>
        <w:rPr>
          <w:rFonts w:hint="eastAsia" w:ascii="仿宋" w:hAnsi="仿宋" w:eastAsia="仿宋" w:cs="仿宋"/>
          <w:color w:val="000000" w:themeColor="text1"/>
          <w:spacing w:val="0"/>
          <w:sz w:val="32"/>
          <w:szCs w:val="32"/>
          <w14:textFill>
            <w14:solidFill>
              <w14:schemeClr w14:val="tx1"/>
            </w14:solidFill>
          </w14:textFill>
        </w:rPr>
        <w:t>单个</w:t>
      </w:r>
      <w:r>
        <w:rPr>
          <w:rFonts w:hint="eastAsia" w:ascii="仿宋" w:hAnsi="仿宋" w:eastAsia="仿宋" w:cs="仿宋"/>
          <w:color w:val="000000" w:themeColor="text1"/>
          <w:spacing w:val="0"/>
          <w:sz w:val="32"/>
          <w:szCs w:val="32"/>
          <w:lang w:eastAsia="zh-CN"/>
          <w14:textFill>
            <w14:solidFill>
              <w14:schemeClr w14:val="tx1"/>
            </w14:solidFill>
          </w14:textFill>
        </w:rPr>
        <w:t>企业</w:t>
      </w:r>
      <w:r>
        <w:rPr>
          <w:rFonts w:hint="eastAsia" w:ascii="仿宋" w:hAnsi="仿宋" w:eastAsia="仿宋" w:cs="仿宋"/>
          <w:color w:val="000000" w:themeColor="text1"/>
          <w:spacing w:val="0"/>
          <w:sz w:val="32"/>
          <w:szCs w:val="32"/>
          <w14:textFill>
            <w14:solidFill>
              <w14:schemeClr w14:val="tx1"/>
            </w14:solidFill>
          </w14:textFill>
        </w:rPr>
        <w:t>最高补</w:t>
      </w:r>
      <w:r>
        <w:rPr>
          <w:rFonts w:hint="eastAsia" w:ascii="仿宋" w:hAnsi="仿宋" w:eastAsia="仿宋" w:cs="仿宋"/>
          <w:color w:val="000000" w:themeColor="text1"/>
          <w:spacing w:val="0"/>
          <w:sz w:val="32"/>
          <w:szCs w:val="32"/>
          <w:lang w:eastAsia="zh-CN"/>
          <w14:textFill>
            <w14:solidFill>
              <w14:schemeClr w14:val="tx1"/>
            </w14:solidFill>
          </w14:textFill>
        </w:rPr>
        <w:t>贴</w:t>
      </w:r>
      <w:r>
        <w:rPr>
          <w:rFonts w:hint="eastAsia" w:ascii="仿宋" w:hAnsi="仿宋" w:eastAsia="仿宋" w:cs="仿宋"/>
          <w:color w:val="000000" w:themeColor="text1"/>
          <w:spacing w:val="0"/>
          <w:sz w:val="32"/>
          <w:szCs w:val="32"/>
          <w14:textFill>
            <w14:solidFill>
              <w14:schemeClr w14:val="tx1"/>
            </w14:solidFill>
          </w14:textFill>
        </w:rPr>
        <w:t>金额不超过1000万元。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双牌产业开发区、县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、县投促中心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39D506E6">
      <w:pPr>
        <w:ind w:firstLine="643"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支持企业设备更新。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抢抓政策机遇，引导企业开展工业领域大规模设备更新。对当年在建且通过湖南省制造强省项目库系统入库的设备更新和技术改造项目，总投资达到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00万元以上的，择优向工业和信息化部、省工业和信息化厅推荐争取技术改造再贷款和贴息等政策支持。(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52651DDB">
      <w:pPr>
        <w:ind w:firstLine="643"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支持企业数智</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改造。</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重点打造一批省级及以上标杆示范企业，推动更多企业实现“智改数转”互联。对当年新增的两化融合管理体系贯标企业、数字化转型贯标企业、“5G+工业互联网”标杆工厂、工业互联网平台、省100个标志性新基建项目、省级数字化转型标杆项目、省级人工智能赋能新型工业化典型应用场景，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。对被工业和信息化部当年新认定的卓越级智能工厂的企业，奖励50万元/个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;对当年新认定的省级智能制造标杆企业、车间，分别奖励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县政务中心、双牌产业开发区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58DC6CB">
      <w:pPr>
        <w:ind w:firstLine="643"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支持企业技术创新。</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持续推进规模以上工业企业创新研发活动全覆盖工作，支持企业开展新技术、新产品、新工艺研发应用。对新认定的国家级、省级技术创新中心、工程研究中心、工程技术研究中心、省级企业技术中心、工业设计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重点实验室的，分别一次性奖励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万元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，对期满重新申报再次认定的，分别奖励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万元。对新认定国家级、省级众创空间的，分别一次性奖励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育壮大创新主体，构建高新技术企业梯度培育和申报认定体系。对新认定、重新认定的高新技术企业分别给予15万元、10万元奖励；对培育申报的高新技术企业，预算安排培育资金5万元/家，认定通过后从县级奖补资金中抵扣。攻破主导产业和特色产业关键核心技术，实施双牌县“揭榜挂帅”重大科技项目，每年不超过5个，单个项目支持资金最高不超过50万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县财政局、双牌产业开发区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6B3069E5">
      <w:pPr>
        <w:ind w:firstLine="643"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安全绿色</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低碳</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建设</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对企业按要求加强安全生产监督管理，建设项目的安全设施、防治污染的设施与主体工程同时设计、同时施工、同时投入生产和使用的，每家</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万元一次性奖励</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鼓励企业开展协同降碳行动，探索减污降碳协同增效有效模式，推动低碳协同示范和数字化绿色化协同转型。对评为国家级、省级绿色工厂的企业，分别给予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万元一次性奖励。加快园区内企业实施系统性清洁生产改造，鼓励工业企业开展自愿性清洁生产审核,对通过省工业和信息化厅自愿性清洁生产审核验收的工业企业,给予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万元一次性奖励。(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县财政局、双牌产业开发区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3570FF1C">
      <w:pPr>
        <w:ind w:firstLine="643"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支持企业品牌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提升。</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推动企业建立新型质量管理体系和品牌培育管理体系，鼓励企业参与标准制定，持续培育制造业质量标杆企业，遴选推荐一批典型案例，提高企业产品质量和品牌价值。对当年新认定的国家级、省级制造业质量标杆企业，分别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0万元、10万元一次性奖励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;对当年新认定的湖南省原材料、消费品工业“三品”标杆企业，给予5 万元奖励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市场监管局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县财政局、双牌产业开发区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0A547D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支持企业融通发展。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落实大中小企业融通创新“携手行动”，全力培育单项冠军等优质企业，支持中小微企业走专精特新发展之路。对当年新认定的国家级专精特新“小巨人”企业、国家级制造业单项冠军企业，奖励50万元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;对当年新认定的省级专精特新中小企业、省级制造业单项冠军企业一次性奖励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。对当年通过复核的国家级专精特新“小巨人”企业，奖励5万元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;对当年通过复核的省级专精特新中小企业，奖励1万元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用于研发投入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县财政局、双牌产业开发区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3B39C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8.支持企业做大做强。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持续开展新增规模以上工业企业行动，安排规模以上工业企业培育专项资金，</w:t>
      </w:r>
      <w:r>
        <w:rPr>
          <w:rFonts w:hint="eastAsia" w:ascii="仿宋" w:hAnsi="仿宋" w:eastAsia="仿宋" w:cs="仿宋"/>
          <w:color w:val="000000" w:themeColor="text1"/>
          <w:sz w:val="32"/>
          <w:szCs w:val="32"/>
          <w14:textFill>
            <w14:solidFill>
              <w14:schemeClr w14:val="tx1"/>
            </w14:solidFill>
          </w14:textFill>
        </w:rPr>
        <w:t>对首次纳入规模工业企业统计库的“一季度进规”企业、“半年进规”企业和“下半年进规”企业(含小升规)，分别给予</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万元奖励</w:t>
      </w:r>
      <w:r>
        <w:rPr>
          <w:rFonts w:hint="eastAsia" w:ascii="仿宋" w:hAnsi="仿宋" w:eastAsia="仿宋" w:cs="仿宋"/>
          <w:color w:val="000000" w:themeColor="text1"/>
          <w:sz w:val="32"/>
          <w:szCs w:val="32"/>
          <w:lang w:eastAsia="zh-CN"/>
          <w14:textFill>
            <w14:solidFill>
              <w14:schemeClr w14:val="tx1"/>
            </w14:solidFill>
          </w14:textFill>
        </w:rPr>
        <w:t>用于研发投入</w:t>
      </w:r>
      <w:r>
        <w:rPr>
          <w:rFonts w:hint="eastAsia" w:ascii="仿宋" w:hAnsi="仿宋" w:eastAsia="仿宋" w:cs="仿宋"/>
          <w:color w:val="000000" w:themeColor="text1"/>
          <w:sz w:val="32"/>
          <w:szCs w:val="32"/>
          <w14:textFill>
            <w14:solidFill>
              <w14:schemeClr w14:val="tx1"/>
            </w14:solidFill>
          </w14:textFill>
        </w:rPr>
        <w:t>;对首次纳入统计部门</w:t>
      </w:r>
      <w:r>
        <w:rPr>
          <w:rFonts w:hint="eastAsia" w:ascii="仿宋" w:hAnsi="仿宋" w:eastAsia="仿宋" w:cs="仿宋"/>
          <w:color w:val="000000" w:themeColor="text1"/>
          <w:sz w:val="32"/>
          <w:szCs w:val="32"/>
          <w:lang w:eastAsia="zh-CN"/>
          <w14:textFill>
            <w14:solidFill>
              <w14:schemeClr w14:val="tx1"/>
            </w14:solidFill>
          </w14:textFill>
        </w:rPr>
        <w:t>制造</w:t>
      </w:r>
      <w:r>
        <w:rPr>
          <w:rFonts w:hint="eastAsia" w:ascii="仿宋" w:hAnsi="仿宋" w:eastAsia="仿宋" w:cs="仿宋"/>
          <w:color w:val="000000" w:themeColor="text1"/>
          <w:sz w:val="32"/>
          <w:szCs w:val="32"/>
          <w14:textFill>
            <w14:solidFill>
              <w14:schemeClr w14:val="tx1"/>
            </w14:solidFill>
          </w14:textFill>
        </w:rPr>
        <w:t>业固投统计的项目，给予一次性</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万元奖励</w:t>
      </w:r>
      <w:r>
        <w:rPr>
          <w:rFonts w:hint="eastAsia" w:ascii="仿宋" w:hAnsi="仿宋" w:eastAsia="仿宋" w:cs="仿宋"/>
          <w:color w:val="000000" w:themeColor="text1"/>
          <w:sz w:val="32"/>
          <w:szCs w:val="32"/>
          <w:lang w:eastAsia="zh-CN"/>
          <w14:textFill>
            <w14:solidFill>
              <w14:schemeClr w14:val="tx1"/>
            </w14:solidFill>
          </w14:textFill>
        </w:rPr>
        <w:t>研发投入</w:t>
      </w:r>
      <w:r>
        <w:rPr>
          <w:rFonts w:hint="eastAsia" w:ascii="仿宋" w:hAnsi="仿宋" w:eastAsia="仿宋" w:cs="仿宋"/>
          <w:color w:val="000000" w:themeColor="text1"/>
          <w:sz w:val="32"/>
          <w:szCs w:val="32"/>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双牌产业开发区、县发改局、县财政局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0DBD7C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9.支持企业开拓市场。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支持工业企业积极参加境外展会，</w:t>
      </w:r>
      <w:r>
        <w:rPr>
          <w:rFonts w:hint="eastAsia" w:ascii="仿宋_GB2312" w:hAnsi="仿宋_GB2312" w:eastAsia="仿宋_GB2312" w:cs="仿宋_GB2312"/>
          <w:b w:val="0"/>
          <w:bCs w:val="0"/>
          <w:i w:val="0"/>
          <w:iCs w:val="0"/>
          <w:caps w:val="0"/>
          <w:color w:val="000000" w:themeColor="text1"/>
          <w:spacing w:val="7"/>
          <w:sz w:val="32"/>
          <w:szCs w:val="32"/>
          <w:shd w:val="clear" w:fill="FFFFFF"/>
          <w14:textFill>
            <w14:solidFill>
              <w14:schemeClr w14:val="tx1"/>
            </w14:solidFill>
          </w14:textFill>
        </w:rPr>
        <w:t>对企业参加《重点境外展会目录》内展会的展位费、物流费及人员费给予支持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;对企业开展国际市场认证、国际营销服务体系建设等费用按照最高至70%的标准给予支持，降低拓展市场成本。</w:t>
      </w:r>
      <w:r>
        <w:rPr>
          <w:rFonts w:hint="eastAsia" w:ascii="仿宋_GB2312" w:hAnsi="仿宋_GB2312" w:eastAsia="仿宋_GB2312" w:cs="仿宋_GB2312"/>
          <w:color w:val="000000" w:themeColor="text1"/>
          <w:sz w:val="32"/>
          <w:szCs w:val="32"/>
          <w14:textFill>
            <w14:solidFill>
              <w14:schemeClr w14:val="tx1"/>
            </w14:solidFill>
          </w14:textFill>
        </w:rPr>
        <w:t>以上支持方向，单个企业年度支持总额不超过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按职责分工负责)</w:t>
      </w:r>
    </w:p>
    <w:p w14:paraId="3D110A8A">
      <w:pPr>
        <w:pStyle w:val="3"/>
        <w:keepNext w:val="0"/>
        <w:keepLines w:val="0"/>
        <w:pageBreakBefore w:val="0"/>
        <w:widowControl/>
        <w:shd w:val="clear"/>
        <w:kinsoku/>
        <w:wordWrap w:val="0"/>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支持开展表扬激励。</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对扩能升级效果明显的重点存量工业企业，优先推荐申报“湖南省民营企业100强”“新湖南贡献奖”“全国优秀企业家”“湖南省优秀企业家”“大国工匠”“劳动模范”等国家级、省级先进集体和个人。加大宣传力度，营造尊重和弘扬企业家精神的良好社会氛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委统战部、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县发改局、县科工信局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工商联、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总工会按职责分工负责)</w:t>
      </w:r>
    </w:p>
    <w:p w14:paraId="12A500F4">
      <w:pPr>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本文件自公布之日起施行，奖励事项涉及同类奖补政策的，按就高标准执行，对已获得上级奖补资金的同一事项，不重复奖励。我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已有的政策与本政策规定不一致的，以本政策为准。政策执行过程中，若法律法规和上级政策另有规定的，从其规定。年度内发生较大及以上生产安全事故、环境污染事故及其他重大违法违规行为的企业不予享受政策支持。本文件的具体解释工作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县人民政府</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承担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，县科工信局具体负责</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062E7BE4">
      <w:pPr>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本政策有效期一年。</w:t>
      </w:r>
    </w:p>
    <w:p w14:paraId="0D76C55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A9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4EBBD">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E4EBBD">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6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2026-01-26T08:42:27Z</dcterms:created>
  <dc:creator>Administrator</dc:creator>
  <cp:lastModifiedBy>Administrator</cp:lastModifiedBy>
  <dcterms:modified xsi:type="dcterms:W3CDTF">2026-01-26T08:42:39Z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eyJoZGlkIjoiYTUzZTQxOTM5ZTZhOTE0NzM3OGQ5OGZkNGI5YTZjOTUifQ==</vt:lpwstr>
  </property>
  <property fmtid="{D5CDD505-2E9C-101B-9397-08002B2CF9AE}" pid="4" name="ICV">
    <vt:lpwstr>2AFB2CB8057740B8A4B7C9DC0042D4A0_12</vt:lpwstr>
  </property>
</Properties>
</file>