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宋体"/>
          <w:sz w:val="48"/>
          <w:szCs w:val="48"/>
          <w:lang w:val="en-US" w:eastAsia="zh-CN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双牌县何家洞镇人民政府</w:t>
      </w:r>
      <w:r>
        <w:rPr>
          <w:rFonts w:hint="eastAsia"/>
          <w:sz w:val="48"/>
          <w:szCs w:val="48"/>
          <w:lang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双牌县何家洞镇人民政府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何家洞镇位于双牌县西南部北接零陵，南临道县，西与广西全州接壤，距离县城37公里，2014年9月获省政府批准撤乡建镇，建制村合并前为22个行政村，合并后为13个行政村(双江村、粗石江村、槐树脚村、朝阳庵村、二井江村、蔡里口村、何家洞村、水银江村、倪家洞村、大宅村、贤源村、老屋张家瑶族村、付家湾村），辖162个村民小组，总人口11288人，面积196平方公里，其中林地24.8万亩，是双牌县林业大镇和劳务输出大镇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核定双牌县何家洞镇人民政府全额拨款编制49名，其中：行政编制19名，事业编制30名。现有在职在岗在编职工3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/>
          <w:sz w:val="32"/>
          <w:szCs w:val="32"/>
        </w:rPr>
        <w:t>人，其中：行政编制1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/>
          <w:sz w:val="32"/>
          <w:szCs w:val="32"/>
        </w:rPr>
        <w:t>名，工勤编制1名，事业编制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/>
          <w:sz w:val="32"/>
          <w:szCs w:val="32"/>
        </w:rPr>
        <w:t>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年度整体支出绩效目标，项目支出绩效目标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1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部门年度整体支出绩效目标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 xml:space="preserve">认真贯彻执行党的基本路线、方针政策和上级组织的决议、指示、命令；对本镇的重大问题进行决策，研究制定全镇经济、社会和文化发展规划。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2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项目支出绩效目标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保障镇政府的基本运转，不断提升何家洞镇政府服务水平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一般公共预算支出情况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2021年度我镇全年收入总计1120.37万元，其中：本年收入1078.84万元，年初结转和结余41.53万元。全年完成实际支出1120.37万元，其中，基本支出474.37万元，项目支出646万元。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基本支出</w:t>
      </w: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474.37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42.34</w:t>
      </w:r>
      <w:r>
        <w:rPr>
          <w:rFonts w:hint="eastAsia" w:ascii="楷体_GB2312" w:hAnsi="楷体_GB2312" w:eastAsia="楷体_GB2312"/>
          <w:sz w:val="32"/>
          <w:szCs w:val="32"/>
        </w:rPr>
        <w:t>%。一般公共预算财政拨款基本支出中人员经费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383.76</w:t>
      </w:r>
      <w:r>
        <w:rPr>
          <w:rFonts w:hint="eastAsia" w:ascii="楷体_GB2312" w:hAnsi="楷体_GB2312" w:eastAsia="楷体_GB2312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90.61</w:t>
      </w:r>
      <w:r>
        <w:rPr>
          <w:rFonts w:hint="eastAsia" w:ascii="楷体_GB2312" w:hAnsi="楷体_GB2312" w:eastAsia="楷体_GB2312"/>
          <w:sz w:val="32"/>
          <w:szCs w:val="32"/>
        </w:rPr>
        <w:t>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/>
          <w:sz w:val="32"/>
          <w:szCs w:val="32"/>
        </w:rPr>
        <w:t>年部门“三公”经费决算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18.96</w:t>
      </w:r>
      <w:r>
        <w:rPr>
          <w:rFonts w:hint="eastAsia" w:ascii="楷体_GB2312" w:hAnsi="楷体_GB2312" w:eastAsia="楷体_GB2312"/>
          <w:sz w:val="32"/>
          <w:szCs w:val="32"/>
        </w:rPr>
        <w:t>万元，其中：公务接待费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15.89</w:t>
      </w:r>
      <w:r>
        <w:rPr>
          <w:rFonts w:hint="eastAsia" w:ascii="楷体_GB2312" w:hAnsi="楷体_GB2312" w:eastAsia="楷体_GB2312"/>
          <w:sz w:val="32"/>
          <w:szCs w:val="32"/>
        </w:rPr>
        <w:t>万元，因公出国（境）费0万元，公务用车购置及运行费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3.07</w:t>
      </w:r>
      <w:r>
        <w:rPr>
          <w:rFonts w:hint="eastAsia" w:ascii="楷体_GB2312" w:hAnsi="楷体_GB2312" w:eastAsia="楷体_GB2312"/>
          <w:sz w:val="32"/>
          <w:szCs w:val="32"/>
        </w:rPr>
        <w:t>万元(其中，公务用车购置费0万元，公务用车运行费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3.07</w:t>
      </w:r>
      <w:r>
        <w:rPr>
          <w:rFonts w:hint="eastAsia" w:ascii="楷体_GB2312" w:hAnsi="楷体_GB2312" w:eastAsia="楷体_GB2312"/>
          <w:sz w:val="32"/>
          <w:szCs w:val="32"/>
        </w:rPr>
        <w:t>万元)。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646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57.66</w:t>
      </w:r>
      <w:r>
        <w:rPr>
          <w:rFonts w:hint="eastAsia" w:ascii="楷体_GB2312" w:hAnsi="楷体_GB2312" w:eastAsia="楷体_GB2312"/>
          <w:sz w:val="32"/>
          <w:szCs w:val="32"/>
        </w:rPr>
        <w:t>%，是指单位为完成特定行政工作任务或事业发展目标而发生的支出，其中：1、一般公共服务支出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179.33</w:t>
      </w:r>
      <w:r>
        <w:rPr>
          <w:rFonts w:hint="eastAsia" w:ascii="楷体_GB2312" w:hAnsi="楷体_GB2312" w:eastAsia="楷体_GB2312"/>
          <w:sz w:val="32"/>
          <w:szCs w:val="32"/>
        </w:rPr>
        <w:t>万元,  2、公共安全支出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0.5</w:t>
      </w:r>
      <w:r>
        <w:rPr>
          <w:rFonts w:hint="eastAsia" w:ascii="楷体_GB2312" w:hAnsi="楷体_GB2312" w:eastAsia="楷体_GB2312"/>
          <w:sz w:val="32"/>
          <w:szCs w:val="32"/>
        </w:rPr>
        <w:t>万元,  3、文化旅游体育与传媒支出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/>
          <w:sz w:val="32"/>
          <w:szCs w:val="32"/>
        </w:rPr>
        <w:t>万元，4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、社会保障和就业支出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3.8</w:t>
      </w:r>
      <w:r>
        <w:rPr>
          <w:rFonts w:hint="eastAsia" w:ascii="楷体_GB2312" w:hAnsi="楷体_GB2312" w:eastAsia="楷体_GB2312"/>
          <w:sz w:val="32"/>
          <w:szCs w:val="32"/>
        </w:rPr>
        <w:t>万元，5、城乡社区支出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137.33</w:t>
      </w:r>
      <w:r>
        <w:rPr>
          <w:rFonts w:hint="eastAsia" w:ascii="楷体_GB2312" w:hAnsi="楷体_GB2312" w:eastAsia="楷体_GB2312"/>
          <w:sz w:val="32"/>
          <w:szCs w:val="32"/>
        </w:rPr>
        <w:t>万元,6、农林水支出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274.9</w:t>
      </w:r>
      <w:r>
        <w:rPr>
          <w:rFonts w:hint="eastAsia" w:ascii="楷体_GB2312" w:hAnsi="楷体_GB2312" w:eastAsia="楷体_GB2312"/>
          <w:sz w:val="32"/>
          <w:szCs w:val="32"/>
        </w:rPr>
        <w:t>万元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,7、商业服务业等支出9.98万元，8、灾害防治及应急管理支出36.16万元</w:t>
      </w:r>
      <w:r>
        <w:rPr>
          <w:rFonts w:hint="eastAsia" w:ascii="楷体_GB2312" w:hAnsi="楷体_GB2312" w:eastAsia="楷体_GB2312"/>
          <w:sz w:val="32"/>
          <w:szCs w:val="32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2021年政府性基金预算财政拨款收入决算数为137.33万元，2021年政府性基金预算财政拨款支出决算数为137.33万元（详见附件4：政府性基金预算支出情况表）。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根据《部门整体支出绩效评价指标》评分，得分100分（详见附件2：部门整体支出绩效自评表）。主要绩效如下：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经济性情况分析看，预算资金覆盖各个需求方面，“三公”经费预算没有超过上年预算安排。2021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可持续性分析看，我镇行政村多，地域面积较大，乡镇工作综合性强，需加大人力、资金投入。在全面脱贫攻坚时期，我镇结合实际，抓住机遇，大力创新开发藤茶、茄子等扶贫产业项目，改善农村环境，提高人民生活质量，促进经济发展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主要反映各种预算支出执行偏离绩效目标的情况，并分析其原因。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2、专项资金少，资金压力大。针对我镇农村经济基础薄弱、资金压力大的现状，重点产业项目尚需进一步的加强。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4、人员严重缺编与工作任务繁重矛盾日益突出。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根据部门整体支出绩效评价指标体系，我单位2021年度评价得分为98分。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、部门整体支出绩效自评表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、项目支出绩效自评表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49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35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18.71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19.1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18.96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3.2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3.07</w:t>
            </w:r>
            <w:r>
              <w:rPr>
                <w:rFonts w:eastAsia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3.2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3.07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15.97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15.9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15.89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592</w:t>
            </w:r>
            <w:r>
              <w:rPr>
                <w:rFonts w:hint="eastAsia" w:eastAsia="仿宋_GB2312"/>
                <w:kern w:val="0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</w:rPr>
              <w:t>79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641.54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94.71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85.8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</w:rPr>
              <w:t>7</w:t>
            </w: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eastAsia="仿宋_GB2312"/>
                <w:color w:val="auto"/>
                <w:kern w:val="0"/>
              </w:rPr>
              <w:t>9</w:t>
            </w: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14.12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6.34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37.5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474.37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474.37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  <w:r>
              <w:rPr>
                <w:rFonts w:eastAsia="仿宋_GB2312"/>
                <w:kern w:val="0"/>
              </w:rPr>
              <w:br w:type="textWrapping"/>
            </w: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  <w:r>
              <w:rPr>
                <w:rFonts w:eastAsia="仿宋_GB2312"/>
                <w:bCs/>
                <w:kern w:val="0"/>
              </w:rPr>
              <w:br w:type="textWrapping"/>
            </w: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刘巧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7890001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kern w:val="0"/>
          <w:sz w:val="22"/>
          <w:szCs w:val="2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双牌县何家洞镇人民政府 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  <w:r>
              <w:rPr>
                <w:rFonts w:eastAsia="仿宋_GB2312"/>
                <w:color w:val="000000"/>
                <w:kern w:val="0"/>
              </w:rPr>
              <w:br w:type="textWrapping"/>
            </w: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1199.98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1199.98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1120.37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93.37%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</w:rPr>
              <w:t>1069.98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</w:rPr>
              <w:t>558.44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</w:rPr>
              <w:t>130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1199.98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1120.37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</w:rPr>
              <w:t>合格率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完成支出及时率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总金额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lang w:val="en-US" w:eastAsia="zh-CN"/>
              </w:rPr>
              <w:t>1199.98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1120.37 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98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刘巧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7890001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项目支出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双牌县何家洞镇人民政府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双牌县何家洞镇人民政府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  <w:r>
              <w:rPr>
                <w:rFonts w:eastAsia="仿宋_GB2312"/>
                <w:color w:val="000000"/>
                <w:kern w:val="0"/>
              </w:rPr>
              <w:br w:type="textWrapping"/>
            </w: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100.7%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保障镇政府的基本运转，不断提升何家洞镇政府服务水平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保障镇政府的基本运转，不断提升何家洞镇政府服务水平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完成支出总额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641.54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支出控制在预算内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641.54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经济发展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社会公众或服务对象满意度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刘巧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7890001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600" w:lineRule="exact"/>
        <w:rPr>
          <w:rFonts w:hint="eastAsia" w:eastAsia="黑体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A7052"/>
    <w:multiLevelType w:val="singleLevel"/>
    <w:tmpl w:val="A11A7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48FBC9"/>
    <w:multiLevelType w:val="singleLevel"/>
    <w:tmpl w:val="6A48F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226F758D"/>
    <w:rsid w:val="25510698"/>
    <w:rsid w:val="28537E6B"/>
    <w:rsid w:val="2A310517"/>
    <w:rsid w:val="4F106268"/>
    <w:rsid w:val="50ED627E"/>
    <w:rsid w:val="57D66790"/>
    <w:rsid w:val="6BF724C5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10</Pages>
  <Words>3664</Words>
  <Characters>4167</Characters>
  <Lines>33</Lines>
  <Paragraphs>9</Paragraphs>
  <TotalTime>1</TotalTime>
  <ScaleCrop>false</ScaleCrop>
  <LinksUpToDate>false</LinksUpToDate>
  <CharactersWithSpaces>4416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2022-07-05T07:45:00Z</cp:lastPrinted>
  <dcterms:modified xsi:type="dcterms:W3CDTF">2022-08-01T00:41:48Z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2D925D49BCC04D038EC79E23201C6B53</vt:lpwstr>
  </property>
</Properties>
</file>