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AC2DE">
      <w:pPr>
        <w:pStyle w:val="3"/>
        <w:widowControl/>
        <w:spacing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双牌县基本建设项目资金管理办法（试行）</w:t>
      </w:r>
    </w:p>
    <w:p w14:paraId="41DD1872">
      <w:pPr>
        <w:autoSpaceDE w:val="0"/>
        <w:spacing w:line="560" w:lineRule="exact"/>
        <w:jc w:val="center"/>
        <w:rPr>
          <w:rFonts w:ascii="楷体" w:hAnsi="楷体" w:eastAsia="楷体" w:cs="楷体"/>
          <w:sz w:val="32"/>
          <w:szCs w:val="32"/>
        </w:rPr>
      </w:pPr>
      <w:r>
        <w:rPr>
          <w:rFonts w:hint="eastAsia" w:ascii="楷体" w:hAnsi="楷体" w:eastAsia="楷体" w:cs="楷体"/>
          <w:sz w:val="32"/>
          <w:szCs w:val="32"/>
        </w:rPr>
        <w:t>（征求意见稿）</w:t>
      </w:r>
    </w:p>
    <w:p w14:paraId="34D842F7">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14:paraId="3578488D">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进一步规范我县行政事业单位以及国有和国有控股企业财政性资金基本建设项目管理，严格落实中央八项规定及其实施细则精神，健全政府性投资项目决策机制，提高资金使用效益，根据《中华人民共和国预算法》、《政府投资条例》（国务院令第712号）、《基本建设财务规则》（财政部令第81号）等法律法规规定和有关文件精神，结合我县实际，制定本办法。</w:t>
      </w:r>
    </w:p>
    <w:p w14:paraId="35FCAA94">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本办法所称基本建设项目，是指经县委、县人民政府同意，全县</w:t>
      </w:r>
      <w:r>
        <w:rPr>
          <w:rFonts w:hint="eastAsia" w:ascii="仿宋" w:hAnsi="仿宋" w:eastAsia="仿宋" w:cs="宋体"/>
          <w:sz w:val="32"/>
          <w:szCs w:val="32"/>
        </w:rPr>
        <w:t>行政事业单位（含项目建设指挥部）、村民委员会</w:t>
      </w:r>
      <w:r>
        <w:rPr>
          <w:rFonts w:hint="eastAsia" w:ascii="仿宋" w:hAnsi="仿宋" w:eastAsia="仿宋" w:cs="仿宋"/>
          <w:sz w:val="32"/>
          <w:szCs w:val="32"/>
        </w:rPr>
        <w:t>以及国有和国有控股企业使用财政性资金进行固定资产投资建设的项目，包括新建、续建、改扩建、迁建、大型维修改造工程等。</w:t>
      </w:r>
    </w:p>
    <w:p w14:paraId="020C159F">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财政性资金包括：</w:t>
      </w:r>
    </w:p>
    <w:p w14:paraId="47705916">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（一）中央预算内投资、省级基建资金、国债资金和上级专项补助等上级财政补助资金；</w:t>
      </w:r>
    </w:p>
    <w:p w14:paraId="314D146A">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（二）县本级一般公共预算安排的建设资金（含一般债券）；</w:t>
      </w:r>
    </w:p>
    <w:p w14:paraId="7E104D73">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（三）县本级政府性基金预算安排的建设资金（含专项债券）；</w:t>
      </w:r>
    </w:p>
    <w:p w14:paraId="122D64B9">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（四）依法纳入政府债务限额管理的外国政府或经济组织贷款转贷的建设资金；</w:t>
      </w:r>
    </w:p>
    <w:p w14:paraId="0D16F0CF">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（五）其他用于基本建设的财政资金。</w:t>
      </w:r>
    </w:p>
    <w:p w14:paraId="422C3EC7">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本办法适用于全县</w:t>
      </w:r>
      <w:r>
        <w:rPr>
          <w:rFonts w:hint="eastAsia" w:ascii="仿宋" w:hAnsi="仿宋" w:eastAsia="仿宋" w:cs="宋体"/>
          <w:sz w:val="32"/>
          <w:szCs w:val="32"/>
        </w:rPr>
        <w:t>行政事业单位（含项目建设指挥部）、村民委员会</w:t>
      </w:r>
      <w:r>
        <w:rPr>
          <w:rFonts w:hint="eastAsia" w:ascii="仿宋" w:hAnsi="仿宋" w:eastAsia="仿宋" w:cs="仿宋"/>
          <w:sz w:val="32"/>
          <w:szCs w:val="32"/>
        </w:rPr>
        <w:t>以及国有和国有控股企业采用政府直接投资方式实施的政府投资基本建设项目，包括全部使用财政性资金或</w:t>
      </w:r>
      <w:r>
        <w:rPr>
          <w:rFonts w:ascii="仿宋" w:hAnsi="仿宋" w:eastAsia="仿宋"/>
          <w:sz w:val="32"/>
          <w:szCs w:val="32"/>
        </w:rPr>
        <w:t>财政资金所占比例</w:t>
      </w:r>
      <w:r>
        <w:rPr>
          <w:rFonts w:hint="eastAsia" w:ascii="宋体" w:hAnsi="宋体" w:eastAsia="宋体" w:cs="宋体"/>
          <w:sz w:val="32"/>
          <w:szCs w:val="32"/>
        </w:rPr>
        <w:t>≧</w:t>
      </w:r>
      <w:r>
        <w:rPr>
          <w:rFonts w:ascii="仿宋" w:hAnsi="仿宋" w:eastAsia="仿宋"/>
          <w:sz w:val="32"/>
          <w:szCs w:val="32"/>
        </w:rPr>
        <w:t>50%</w:t>
      </w:r>
      <w:r>
        <w:rPr>
          <w:rFonts w:hint="eastAsia" w:ascii="仿宋" w:hAnsi="仿宋" w:eastAsia="仿宋" w:cs="仿宋"/>
          <w:sz w:val="32"/>
          <w:szCs w:val="32"/>
        </w:rPr>
        <w:t>的基本建设项目。</w:t>
      </w:r>
    </w:p>
    <w:p w14:paraId="73AF541B">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采用资本金注入、贷款贴息、投资补助等方式投资的基本建设项目，按国家有关规定执行。</w:t>
      </w:r>
    </w:p>
    <w:p w14:paraId="6BD8CB0E">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中央财政性资金或省级财政性资金投资的基本建设项目另有管理规定的，从其规定；党政机关办公用房建设项目按照中央、省有关规定执行。</w:t>
      </w:r>
    </w:p>
    <w:p w14:paraId="00A4CA44">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基本建设项目资金管理的基本原则：</w:t>
      </w:r>
    </w:p>
    <w:p w14:paraId="763DB7C7">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（一）专款专用。基本建设项目资金必须专项用于已经批准的基本建设项目，不得截留、挤占和挪用。</w:t>
      </w:r>
    </w:p>
    <w:p w14:paraId="5FE28B12">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成本控制。基本建设项目必须严格执行成本控制，以估算控制概算，以概算控制预算，以预算控制结算。项目建设资金纳入财政预算管理，硬化预算约束。县人民政府批准实施的无预算应急类项目以县人民政府决策的估算投资额为控制数。</w:t>
      </w:r>
    </w:p>
    <w:p w14:paraId="1FA63A58">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（三）注重绩效。基本建设项目资金的筹集、使用和管理，必须厉行节约，降低工程成本，防止损失浪费，强化资金使用绩效评价，提高资金使用效益。</w:t>
      </w:r>
    </w:p>
    <w:p w14:paraId="46B8D96D">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（四）依法依规。严格执行招投标、政府采购及基本建设管理的相关法律法规，做到公开、公正、公平。</w:t>
      </w:r>
    </w:p>
    <w:p w14:paraId="5E63B07D">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基本建设项目资金由财政部门、项目主管部门和建设单位按照职责分工共同管理。项目主管部门和建设单位为同一主体的，须同时履行相应职责。</w:t>
      </w:r>
    </w:p>
    <w:p w14:paraId="6453429E">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财政部门负责建立和完善项目支出预算评审制度、对项目提出资金安排建议、做出资金预算安排，批复项目资金来源、指导采购管理，在主管部门、项目建设单位及监理单位审核确定的工程完工量或项目建设单位工程结算的基础上核拨资金，指导和实施全过程绩效管理及监督检查。</w:t>
      </w:r>
    </w:p>
    <w:p w14:paraId="04805BFA">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项目主管部门负责对本部门的基本建设项目进行管理和监督，筹措项目建设资金，按权限批复项目决算，指导和督促项目建设单位做好项目管理的各项工作。</w:t>
      </w:r>
    </w:p>
    <w:p w14:paraId="03083C3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建设单位是项目实施的责任主体，对项目资料的真实性、合法性、完整性、准确性、效益性负首要责任，应严格按基建程序拟定项目投资计划和绩效目标，建立健全本单位基建财务管理制度和内部控制制度，设置议事决策、审核机制，加强对合同、资料、文件、档案、信息、成本等但不限于这几个方面的管理工作，明确不同层级管理人员的审批权限，确保工程项目业务的规范化运作，及时有效地做好项目全过程造价管理和控制（含估算、概算、预算、结算、决算等）；自主确定最高投标限价以及项目的主要内容或子目的清单价上限值，在招投标环节中，对专业性较强的材料，尤其是品牌、档次暂不能确定的材料，在招标文件中给定适中的暂估价，在限制投标总价的同时对工程量大、造价高、具有特征的分项工程设置单价限价，投标文件中高于单价限价的作废标处理；在专用合同条款中约定工程量增加超过一定比例的分项工程应重新组价，并明确相应的组价方法；项目完工后组织竣工验收和办理工程结算</w:t>
      </w:r>
      <w:r>
        <w:rPr>
          <w:rFonts w:hint="eastAsia" w:ascii="仿宋" w:hAnsi="仿宋" w:eastAsia="仿宋" w:cs="仿宋"/>
          <w:color w:val="000000" w:themeColor="text1"/>
          <w:sz w:val="32"/>
          <w:szCs w:val="32"/>
          <w14:textFill>
            <w14:solidFill>
              <w14:schemeClr w14:val="tx1"/>
            </w14:solidFill>
          </w14:textFill>
        </w:rPr>
        <w:t>（行业另有规定的从其规定），</w:t>
      </w:r>
      <w:r>
        <w:rPr>
          <w:rFonts w:hint="eastAsia" w:ascii="仿宋" w:hAnsi="仿宋" w:eastAsia="仿宋" w:cs="仿宋"/>
          <w:sz w:val="32"/>
          <w:szCs w:val="32"/>
        </w:rPr>
        <w:t>自行或委托工程造价咨询机构对结算文件进行审核，进行财务核算，办理资产交付等工作。</w:t>
      </w:r>
    </w:p>
    <w:p w14:paraId="26C5A939">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基本建设项目实行代建制的，代建单位应当配合建设单位做好项目管理各项基础工作。</w:t>
      </w:r>
    </w:p>
    <w:p w14:paraId="666C2A22">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资金筹集</w:t>
      </w:r>
    </w:p>
    <w:p w14:paraId="5AFD7562">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政府投资项目规模应当与政府财政的承受能力相适应，遵循“量入为出、综合平衡、控制风险、绩效优先”的原则。发展改革部门应当根据政府投资建设项目库项目储备情况，会同财政、行业主管等有关部门，综合考虑国民经济和社会发展要求及政府财力状况，提出年度政府投资计划报县人民政府研究审定。未纳入政府投资建设项目库的不安排财政资金。</w:t>
      </w:r>
    </w:p>
    <w:p w14:paraId="3029B4D1">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政府直接投资的基本建设项目，项目主管部门在申请立项前应当有明确的资金筹集计划，主要建设资金来源应当为向上争取的中央预算内投资、省级基建资金、国债资金、政府债券或上级专项补助等财政资金，不足部分由本级财政统筹本级财力适当安排。</w:t>
      </w:r>
    </w:p>
    <w:p w14:paraId="38D1B17D">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政府投资项目立项要严格执行《湖南省人民政府办公厅关于印发〈进一步规范政府性投资项目决策和立项防范政府债务风险的管理办法〉的通知》（湘政办发〔2022〕26号）、《湖南省发展和改革委员会湖南省财政厅关于优化调整政府性投资项目决策管理有关事项的通知》（湘发改投资规〔2023〕476号）等文件精神。政府直接投资项目立项时，项目主管部门和建设单位应当提出明确的资金筹集方案，落实资金来源。资金筹集方案作为财政部门出具资金来源审核论证的依据，不得过高依赖本级财政、不得突破本级财政承受能力，不得违规举债新增政府隐性债务。</w:t>
      </w:r>
    </w:p>
    <w:p w14:paraId="3043CBF3">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预算编制</w:t>
      </w:r>
    </w:p>
    <w:p w14:paraId="01974BF6">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各项目主管部门应当组织项目建设单位，根据项目实施计划、工程实施进度和上级财政性资金到位率等情况，编制各项目下一年度资金支出计划，于每年10月中旬前向财政部门提出下一年度县级财政资金安排需求。财政部门结合项目以前年度预算执行情况和绩效评价结果，统筹本级财力资金，安排县级财政负责筹集的项目建设资金，经法定程序认定后列入年度财政预算。</w:t>
      </w:r>
    </w:p>
    <w:p w14:paraId="4A35A061">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项目建设单位应当根据立项批复或经批准的实施计划，组织项目设计，向财政部门送审项目工程预算。项目前期严格遵循立项批复的建设内容、规模、标准、投资概算进行设计，严格把关自身或委托的造价咨询机构编制的工程预算，及时向财政部门提供真实、准确、完整的送审资料。预算评审事项按《双牌县预算评审管理实施细则》执行。财政部门将预算评审结果作为预算编制和执行的重要依据。工程预算不得超过经批复的概算（工程费用，含设备采购）、县人民政府决策的应急类无预算项目的估算。严禁将项目化整为零规避监管。</w:t>
      </w:r>
    </w:p>
    <w:p w14:paraId="7B28571C">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未经县人民政府决策的项目一律不得开工建设，财政部门不得安排建设资金。</w:t>
      </w:r>
    </w:p>
    <w:p w14:paraId="64BA5BEA">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县本级基本建设资金优先安排事关民生、需求迫切的基础性、公益性项目，按照轻重缓急排序列入预算一体化系统项目库实行全周期管理，县委、县人民政府决策的政府直接投资的重点基本建设项目优先予以保障。列入项目库的投资项目应编制实施期绩效目标及年度绩效目标、实施措施和资金支出计划。</w:t>
      </w:r>
    </w:p>
    <w:p w14:paraId="068D15DE">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项目库实行定期更新、滚动管理。对未入库的项目不予安排财政资金；涉及政府采购的，应编制政府采购预算；涉及政府购买服务的，应编制政府购买服务预算。</w:t>
      </w:r>
    </w:p>
    <w:p w14:paraId="4C4EBA75">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为应对自然灾害、事故灾难、公共卫生、社会安全等突发事件，需要紧急建设的项目，按照应急抢险救灾工程审批管理的有关规定办理，财政部门及时提出资金安排建议报县人民政府决策。</w:t>
      </w:r>
    </w:p>
    <w:p w14:paraId="790C67AC">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预算执行</w:t>
      </w:r>
    </w:p>
    <w:p w14:paraId="5CD8AFC9">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财政部门根据县人民代表大会批准的财政预算下达项目年度支出预算。项目主管部门根据项目年度投资计划、工程合同等，结合项目实际建设进度，向建设单位下达项目资金年度绩效目标。</w:t>
      </w:r>
    </w:p>
    <w:p w14:paraId="000140E9">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项目预算执行中的勘察、设计、施工、监理及重要设备、材料等采购活动，应当严格执行招投标或政府采购管理的有关规定。项目建设单位应当依据建设工程计价依据和市场价格信息等，自行确定最高投标或政府采购上限价。建设单位应认真遵守工程建设项目招投标、政府采购及财政评审管理制度，依法依规进行招投标或政府采购。实行设计施工总承包的政府投资工程项目，开工前，没有进行施工图图审及财政预算评审的，不得开工建设和工程价款拨付。施工合同中应约定预备费的使用原则。未依法履行招投标或政府采购程序的，财政部门不予拨付资金。</w:t>
      </w:r>
    </w:p>
    <w:p w14:paraId="17268AD8">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建设单位根据批准的预算、年度用款计划、中标通知书、工程合同、工程中间计量报告及其他佐证资料向财政部门提出用款申请，资金拨付严格按照国库集中支付制度有关规定执行。</w:t>
      </w:r>
    </w:p>
    <w:p w14:paraId="77849DCC">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建设单位应当按照概（预）算批复的项目建设内容、标准和范围组织项目实施，严格控制建设成本。因项目建设期价格上涨、政策调整、地质条件发生重大变化或自然灾害等不可抗力因素，导致原核定预算不能满足工程实际需求，动用项目预备费可以解决的，由项目建设单位自行调剂使用。</w:t>
      </w:r>
    </w:p>
    <w:p w14:paraId="5C2ED980">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项目必须按计划批复、实施方案或设计图实施，不得擅自扩大投资规模、随意进行工程变更，对因客观条件或不可抗力原因必须进行设计变更而增加项目投资，需调整项目概（预）算的，由项目建设单位对变更部分按程序重新编制工程预算方案和申请调整报告，报概（预）算批复部门，按照“先评估、后定责、再调整”的原则办理报批手续，落实超概（预）算部分的资金来源，批复部门同意后，按照相关规定组织变更项目实施，五方责任主体（建设、勘察、设计、监理、施工）现场核定，做好设计变更、隐蔽工程签证及影像资料，所增成本纳入工程投资。未及时办理报批手续，所需资料不全，事后无法审查的，相关工程结算不纳入项目成本和总投资。</w:t>
      </w:r>
    </w:p>
    <w:p w14:paraId="04E92F98">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对非承包单位原因造成工期延误、工程量增加的，受国家法律、法规、规章和政策发生变化引起工程造价增减变化的，由业主及项目主管单位提出变更申请，按以下权限进行审批：10万元以内的报分管县级领导审批；10-20万元的报分管县级领导和常务副县长审批；20-30万元报县报分管县级领导、常务副县长和县长审批；30万元以上的需报县委财经委员会集体研究审定。未按程序审批的，超出批准建设内容、标准和范围发生的支出，不得纳入工程结算造价、列入项目建设成本，财政部门不予追加工程款。</w:t>
      </w:r>
    </w:p>
    <w:p w14:paraId="4866DDA7">
      <w:pPr>
        <w:pStyle w:val="3"/>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项目建设单位应当规范项目预算执行，严格按照项目实施进度支付工程款。项目（含应急类工程）竣工结算批复前，建设单位按不低于工程中间计量的80%、不高于85%支付工程进度款。严禁超进度拨付工程款。项目主管部门应加强工程款的使用监督，确保资金使用安全和规范。</w:t>
      </w:r>
    </w:p>
    <w:p w14:paraId="271EAF18">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竣工结（决）算</w:t>
      </w:r>
    </w:p>
    <w:p w14:paraId="6661CDB4">
      <w:pPr>
        <w:spacing w:line="56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第十九条</w:t>
      </w:r>
      <w:r>
        <w:rPr>
          <w:rFonts w:hint="eastAsia" w:ascii="仿宋" w:hAnsi="仿宋" w:eastAsia="仿宋" w:cs="仿宋"/>
          <w:sz w:val="32"/>
          <w:szCs w:val="32"/>
        </w:rPr>
        <w:t xml:space="preserve">  </w:t>
      </w:r>
      <w:r>
        <w:rPr>
          <w:rFonts w:hint="eastAsia" w:ascii="仿宋" w:hAnsi="仿宋" w:eastAsia="仿宋" w:cs="仿宋"/>
          <w:kern w:val="0"/>
          <w:sz w:val="32"/>
          <w:szCs w:val="32"/>
        </w:rPr>
        <w:t>建设单位是项目竣工结算、财务决算报告编制的责任主体，按相关规定自行办理结算。</w:t>
      </w:r>
    </w:p>
    <w:p w14:paraId="7AA62495">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项目结算金额超过预算金额的，财政部门不予安排超出部分的资金。项目建设单位应当按照不超过工程价款结算总额的3%预留工程质量保证金，待工程交付使用缺陷责任期满后清算。</w:t>
      </w:r>
    </w:p>
    <w:p w14:paraId="6008A12F">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项目建设单位应当在工程竣工验收合格后，及时办理资产交付使用手续，做好在建工程转固定资产的账务处理，待项目竣工财务决算批复后进行账务调整。建设单位应当在项目竣工并完成结算评审后3个月内，及时编制项目竣工财务决算，按照基本建设项目竣工财务决算审核批复的规定，报送项目主管部门进行批复，并将批复结果（项目竣工财务决算报表、竣工财务决算说明书、竣工财务决（结）算审核情况及相关资料）报财政部门备案。</w:t>
      </w:r>
    </w:p>
    <w:p w14:paraId="339046FF">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项目结余资金中的财政资金部分，建设单位应当在项目竣工验收合格后的3个月内或竣工结算批复后的5个工作日内进行清算并缴回财政；项目终止、报废或者未按照批准的建设内容建设而形成的剩余建设资金，按照项目实际资金来源比例确认的财政资金应当缴回财政；基本建设项目连续两年未用完的结转资金，原则上视为结余资金，收回财政统筹使用。</w:t>
      </w:r>
    </w:p>
    <w:p w14:paraId="253C760B">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绩效评价</w:t>
      </w:r>
    </w:p>
    <w:p w14:paraId="18725E54">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 xml:space="preserve"> 建设单位应当对项目整体和分年度项目绩效目标完成情况进行自评，出具绩效自评报告，经项目主管部门审核后报财政部门。项目绩效自评应当对项目的产出数量、质量、时效、成本以及经济效益、社会效益和生态效益、可持续影响、服务对象满意度等进行全面评价。</w:t>
      </w:r>
    </w:p>
    <w:p w14:paraId="6C2D0ED4">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财政部门选择部分项目开展重点绩效评价，绩效评价结果作为项目财政资金预算安排和资金拨付的重要依据。对交叉重复、碎片化的政策和项目，予以调整或整合；对低效无效资金予以削减或取消；对长期沉淀的资金一律收回；对财政资金管理出现严重漏洞，且在申请追加财政资金期间仍未整改到位的，不予追加预算。</w:t>
      </w:r>
    </w:p>
    <w:p w14:paraId="01D53148">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监督管理</w:t>
      </w:r>
    </w:p>
    <w:p w14:paraId="2FA01C71">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项目建设单位应当按照行政事业单位内部控制有关规范，建立健全内部控制和财务信息报告制度，依法接受并积极配合主管部门和财政、审计等部门的监督与检查。</w:t>
      </w:r>
    </w:p>
    <w:p w14:paraId="1B555A0F">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项目主管部门对基本建设项目负有直接监管责任，要加强对项目建设和资金的管理，采取事前、事中、事后相结合，日常监督与专项监督相结合的方式，对项目实施过程进行监督、检查，及时、充分了解项目进度、成本控制、资金需求及使用等有关信息。在预算编制、预算执行、工程结算、竣工财务决算等流程上，形成相互制约和监督的工作机制。</w:t>
      </w:r>
    </w:p>
    <w:p w14:paraId="531E6BF2">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财政部门聚焦项目资金全生命周期管理，通过财政预算评审、财会监督和绩效评价等监管措施确保资金安全、规范、高效使用。在监管中发现违法违规问题，依法依规对相关单位和责任人员进行行政处罚，构成违纪违法的依规向纪检监察机关移交问题线索。</w:t>
      </w:r>
    </w:p>
    <w:p w14:paraId="52A6D14C">
      <w:pPr>
        <w:pStyle w:val="3"/>
        <w:widowControl/>
        <w:spacing w:beforeAutospacing="0" w:afterAutospacing="0" w:line="560" w:lineRule="exact"/>
        <w:ind w:firstLine="640" w:firstLineChars="200"/>
        <w:rPr>
          <w:rFonts w:ascii="仿宋" w:hAnsi="仿宋" w:eastAsia="仿宋" w:cs="仿宋"/>
          <w:strike/>
          <w:sz w:val="32"/>
          <w:szCs w:val="32"/>
        </w:rPr>
      </w:pPr>
      <w:r>
        <w:rPr>
          <w:rFonts w:hint="eastAsia" w:ascii="仿宋" w:hAnsi="仿宋" w:eastAsia="仿宋" w:cs="仿宋"/>
          <w:sz w:val="32"/>
          <w:szCs w:val="32"/>
        </w:rPr>
        <w:t>配合审计部门对项目资金进行审计。配合纪检监察机关对项目资金进行监督检查。</w:t>
      </w:r>
    </w:p>
    <w:p w14:paraId="0FB7E10D">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审计部门通过全面审计、抽查审计、跟踪审计、专项审计等方式，对建设项目进行审计监督。项目建设单位应加强对审计发现问题的整改。拒不整改、虚假整改的，依法追究相关单位和责任人员的责任。</w:t>
      </w:r>
    </w:p>
    <w:p w14:paraId="7C941BF9">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第二十九条 </w:t>
      </w:r>
      <w:r>
        <w:rPr>
          <w:rFonts w:hint="eastAsia" w:ascii="仿宋" w:hAnsi="仿宋" w:eastAsia="仿宋" w:cs="仿宋"/>
          <w:sz w:val="32"/>
          <w:szCs w:val="32"/>
        </w:rPr>
        <w:t xml:space="preserve"> 发改、财政、审计等部门要主动向纪检监察机关及时移送投资领域的违纪违法问题线索并提供业务支持。</w:t>
      </w:r>
    </w:p>
    <w:p w14:paraId="30FC10EE">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纪检监察机关对发改、财政、审计等部门的履职行为进行再监督。紧盯投资决策、工程招投标等重点环节，查处贪污受贿、失职渎职等问题，按照“谁签字、谁负责；谁主管，谁负责”原则，严肃追究相关单位和责任人的责任；对举报线索依法依规进行查处；涉嫌犯罪的，依法移送司法机关处理。</w:t>
      </w:r>
    </w:p>
    <w:p w14:paraId="0FA4D5E4">
      <w:pPr>
        <w:pStyle w:val="3"/>
        <w:widowControl/>
        <w:spacing w:beforeAutospacing="0" w:afterAutospacing="0" w:line="560" w:lineRule="exact"/>
        <w:rPr>
          <w:rFonts w:ascii="仿宋" w:hAnsi="仿宋" w:eastAsia="仿宋" w:cs="仿宋"/>
          <w:sz w:val="32"/>
          <w:szCs w:val="32"/>
        </w:rPr>
      </w:pPr>
    </w:p>
    <w:p w14:paraId="45B60E2E">
      <w:pPr>
        <w:pStyle w:val="3"/>
        <w:widowControl/>
        <w:spacing w:beforeAutospacing="0" w:afterAutospacing="0"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附  则</w:t>
      </w:r>
    </w:p>
    <w:p w14:paraId="30243369">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国家和省级对基本建设项目资金管理另有规定的，从其规定。国有企业参照本办法执行。</w:t>
      </w:r>
    </w:p>
    <w:p w14:paraId="5CAD2D77">
      <w:pPr>
        <w:pStyle w:val="3"/>
        <w:widowControl/>
        <w:spacing w:beforeAutospacing="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本办法自发布之日起施行。</w:t>
      </w:r>
    </w:p>
    <w:p w14:paraId="7B620B5F">
      <w:pPr>
        <w:pStyle w:val="3"/>
        <w:widowControl/>
        <w:spacing w:beforeAutospacing="0" w:afterAutospacing="0" w:line="560" w:lineRule="exact"/>
        <w:ind w:firstLine="640" w:firstLineChars="200"/>
        <w:rPr>
          <w:rFonts w:ascii="仿宋" w:hAnsi="仿宋" w:eastAsia="仿宋" w:cs="仿宋"/>
          <w:sz w:val="32"/>
          <w:szCs w:val="32"/>
        </w:rPr>
      </w:pPr>
    </w:p>
    <w:p w14:paraId="0B4F17F9">
      <w:pPr>
        <w:pStyle w:val="3"/>
        <w:widowControl/>
        <w:spacing w:beforeAutospacing="0" w:afterAutospacing="0" w:line="560" w:lineRule="exact"/>
        <w:rPr>
          <w:rFonts w:ascii="仿宋" w:hAnsi="仿宋" w:eastAsia="仿宋" w:cs="仿宋"/>
          <w:color w:val="0000FF"/>
          <w:sz w:val="32"/>
          <w:szCs w:val="32"/>
        </w:rPr>
      </w:pPr>
    </w:p>
    <w:p w14:paraId="6FF3B065">
      <w:bookmarkStart w:id="0" w:name="_GoBack"/>
      <w:bookmarkEnd w:id="0"/>
    </w:p>
    <w:sectPr>
      <w:footerReference r:id="rId3" w:type="default"/>
      <w:pgSz w:w="11905" w:h="16838" w:orient="landscape"/>
      <w:pgMar w:top="1701" w:right="1587" w:bottom="1587"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0052F2-E870-41CC-A95E-3BA70FCDECC5}"/>
  </w:font>
  <w:font w:name="方正小标宋简体">
    <w:panose1 w:val="02000000000000000000"/>
    <w:charset w:val="86"/>
    <w:family w:val="auto"/>
    <w:pitch w:val="default"/>
    <w:sig w:usb0="00000001" w:usb1="08000000" w:usb2="00000000" w:usb3="00000000" w:csb0="00040000" w:csb1="00000000"/>
    <w:embedRegular r:id="rId2" w:fontKey="{C8B135EC-26F7-42FB-9DD5-07978EB280FD}"/>
  </w:font>
  <w:font w:name="楷体">
    <w:panose1 w:val="02010609060101010101"/>
    <w:charset w:val="86"/>
    <w:family w:val="modern"/>
    <w:pitch w:val="default"/>
    <w:sig w:usb0="800002BF" w:usb1="38CF7CFA" w:usb2="00000016" w:usb3="00000000" w:csb0="00040001" w:csb1="00000000"/>
    <w:embedRegular r:id="rId3" w:fontKey="{1B1078F6-950D-43D0-A3E0-D11990BC70FC}"/>
  </w:font>
  <w:font w:name="方正黑体_GBK">
    <w:altName w:val="微软雅黑"/>
    <w:panose1 w:val="00000000000000000000"/>
    <w:charset w:val="86"/>
    <w:family w:val="auto"/>
    <w:pitch w:val="default"/>
    <w:sig w:usb0="00000000" w:usb1="00000000" w:usb2="00082016" w:usb3="00000000" w:csb0="00040001" w:csb1="00000000"/>
    <w:embedRegular r:id="rId4" w:fontKey="{5AE1ADBD-0F8B-47E7-B91E-0191EE48DA15}"/>
  </w:font>
  <w:font w:name="仿宋">
    <w:panose1 w:val="02010609060101010101"/>
    <w:charset w:val="86"/>
    <w:family w:val="modern"/>
    <w:pitch w:val="default"/>
    <w:sig w:usb0="800002BF" w:usb1="38CF7CFA" w:usb2="00000016" w:usb3="00000000" w:csb0="00040001" w:csb1="00000000"/>
    <w:embedRegular r:id="rId5" w:fontKey="{55D0EAFC-09EF-4192-89DF-357F13B469E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5C9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F6A56">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54CF6A56">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9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2025-10-24T08:42:05Z</dcterms:created>
  <dc:creator>12</dc:creator>
  <cp:lastModifiedBy>Inhobbok</cp:lastModifiedBy>
  <dcterms:modified xsi:type="dcterms:W3CDTF">2025-10-24T08:42:13Z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eyJoZGlkIjoiOWE1Zjg2ZWYxMzNiMjMwZmM1NTgxZmM1ZTkwMmJlMDMiLCJ1c2VySWQiOiI1MzM4NzUwMDAifQ==</vt:lpwstr>
  </property>
  <property fmtid="{D5CDD505-2E9C-101B-9397-08002B2CF9AE}" pid="4" name="ICV">
    <vt:lpwstr>B069E5B28B2A4DC59CA498AEC3B54D4C_12</vt:lpwstr>
  </property>
</Properties>
</file>