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BD05F6">
      <w:pPr>
        <w:spacing w:line="560" w:lineRule="exact"/>
        <w:jc w:val="left"/>
        <w:rPr>
          <w:rFonts w:hint="eastAsia" w:ascii="黑体" w:hAnsi="黑体" w:eastAsia="黑体" w:cs="黑体"/>
          <w:bCs/>
          <w:sz w:val="32"/>
          <w:szCs w:val="32"/>
        </w:rPr>
      </w:pPr>
    </w:p>
    <w:p w14:paraId="6D408EE6">
      <w:pPr>
        <w:spacing w:line="6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双牌县县直国家机关及省市驻双有关单位2024年度普法责任清单</w:t>
      </w:r>
    </w:p>
    <w:p w14:paraId="12DF5CEA">
      <w:pPr>
        <w:pStyle w:val="6"/>
        <w:spacing w:line="200" w:lineRule="exact"/>
        <w:ind w:firstLine="360"/>
        <w:rPr>
          <w:rFonts w:hint="eastAsia" w:asciiTheme="majorEastAsia" w:hAnsiTheme="majorEastAsia" w:eastAsiaTheme="majorEastAsia"/>
          <w:sz w:val="36"/>
          <w:szCs w:val="36"/>
        </w:rPr>
      </w:pPr>
    </w:p>
    <w:tbl>
      <w:tblPr>
        <w:tblStyle w:val="8"/>
        <w:tblW w:w="1359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911"/>
        <w:gridCol w:w="1749"/>
        <w:gridCol w:w="10930"/>
      </w:tblGrid>
      <w:tr w14:paraId="00E7079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13591" w:type="dxa"/>
            <w:gridSpan w:val="3"/>
            <w:tcBorders>
              <w:top w:val="single" w:color="auto" w:sz="4" w:space="0"/>
              <w:left w:val="single" w:color="auto" w:sz="4" w:space="0"/>
              <w:bottom w:val="single" w:color="auto" w:sz="4" w:space="0"/>
              <w:right w:val="single" w:color="auto" w:sz="4" w:space="0"/>
            </w:tcBorders>
            <w:noWrap/>
          </w:tcPr>
          <w:p w14:paraId="59631F6D">
            <w:pPr>
              <w:widowControl/>
              <w:jc w:val="center"/>
              <w:rPr>
                <w:rFonts w:ascii="仿宋" w:hAnsi="仿宋" w:eastAsia="仿宋"/>
                <w:b/>
                <w:bCs/>
                <w:sz w:val="32"/>
                <w:szCs w:val="32"/>
              </w:rPr>
            </w:pPr>
            <w:r>
              <w:rPr>
                <w:rFonts w:hint="eastAsia" w:ascii="仿宋" w:hAnsi="仿宋" w:eastAsia="仿宋" w:cs="Arial"/>
                <w:b/>
                <w:bCs/>
                <w:sz w:val="32"/>
                <w:szCs w:val="32"/>
              </w:rPr>
              <w:t>共性清单</w:t>
            </w:r>
          </w:p>
        </w:tc>
      </w:tr>
      <w:tr w14:paraId="4330D7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5" w:hRule="atLeast"/>
        </w:trPr>
        <w:tc>
          <w:tcPr>
            <w:tcW w:w="13591" w:type="dxa"/>
            <w:gridSpan w:val="3"/>
            <w:tcBorders>
              <w:top w:val="single" w:color="auto" w:sz="4" w:space="0"/>
              <w:left w:val="single" w:color="auto" w:sz="4" w:space="0"/>
              <w:bottom w:val="single" w:color="auto" w:sz="4" w:space="0"/>
              <w:right w:val="single" w:color="auto" w:sz="4" w:space="0"/>
            </w:tcBorders>
            <w:noWrap/>
          </w:tcPr>
          <w:p w14:paraId="75AFB9E4">
            <w:pPr>
              <w:widowControl/>
              <w:jc w:val="center"/>
              <w:rPr>
                <w:rFonts w:ascii="仿宋" w:hAnsi="仿宋" w:eastAsia="仿宋" w:cs="仿宋_GB2312"/>
                <w:sz w:val="28"/>
                <w:szCs w:val="28"/>
              </w:rPr>
            </w:pPr>
            <w:r>
              <w:rPr>
                <w:rFonts w:hint="eastAsia" w:ascii="仿宋" w:hAnsi="仿宋" w:eastAsia="仿宋" w:cs="仿宋_GB2312"/>
                <w:sz w:val="28"/>
                <w:szCs w:val="28"/>
              </w:rPr>
              <w:t>突出学习宣传贯彻习近平法治思想，持续深入开展宪法宣传教育，深入开展民法典、党内法规、未成年人保护法、永州市地方性法规等</w:t>
            </w:r>
          </w:p>
        </w:tc>
      </w:tr>
      <w:tr w14:paraId="27836F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9" w:hRule="atLeast"/>
        </w:trPr>
        <w:tc>
          <w:tcPr>
            <w:tcW w:w="911" w:type="dxa"/>
            <w:tcBorders>
              <w:top w:val="single" w:color="auto" w:sz="4" w:space="0"/>
              <w:left w:val="single" w:color="auto" w:sz="4" w:space="0"/>
              <w:bottom w:val="single" w:color="auto" w:sz="4" w:space="0"/>
              <w:right w:val="single" w:color="auto" w:sz="4" w:space="0"/>
            </w:tcBorders>
            <w:noWrap/>
          </w:tcPr>
          <w:p w14:paraId="44211C4C">
            <w:pPr>
              <w:widowControl/>
              <w:jc w:val="center"/>
              <w:rPr>
                <w:rFonts w:ascii="仿宋" w:hAnsi="仿宋" w:eastAsia="仿宋" w:cs="Arial"/>
                <w:b/>
                <w:bCs/>
                <w:sz w:val="32"/>
                <w:szCs w:val="32"/>
              </w:rPr>
            </w:pPr>
            <w:r>
              <w:rPr>
                <w:rFonts w:hint="eastAsia" w:ascii="仿宋" w:hAnsi="仿宋" w:eastAsia="仿宋" w:cs="Arial"/>
                <w:b/>
                <w:bCs/>
                <w:sz w:val="32"/>
                <w:szCs w:val="32"/>
              </w:rPr>
              <w:t>序号</w:t>
            </w:r>
          </w:p>
        </w:tc>
        <w:tc>
          <w:tcPr>
            <w:tcW w:w="1749" w:type="dxa"/>
            <w:tcBorders>
              <w:top w:val="single" w:color="auto" w:sz="4" w:space="0"/>
              <w:left w:val="nil"/>
              <w:bottom w:val="single" w:color="auto" w:sz="4" w:space="0"/>
              <w:right w:val="single" w:color="auto" w:sz="4" w:space="0"/>
            </w:tcBorders>
            <w:noWrap/>
          </w:tcPr>
          <w:p w14:paraId="1C80D0BF">
            <w:pPr>
              <w:widowControl/>
              <w:jc w:val="center"/>
              <w:rPr>
                <w:rFonts w:ascii="仿宋" w:hAnsi="仿宋" w:eastAsia="仿宋" w:cs="Arial"/>
                <w:b/>
                <w:bCs/>
                <w:sz w:val="32"/>
                <w:szCs w:val="32"/>
              </w:rPr>
            </w:pPr>
            <w:r>
              <w:rPr>
                <w:rFonts w:hint="eastAsia" w:ascii="仿宋" w:hAnsi="仿宋" w:eastAsia="仿宋" w:cs="Arial"/>
                <w:b/>
                <w:bCs/>
                <w:sz w:val="32"/>
                <w:szCs w:val="32"/>
              </w:rPr>
              <w:t>单位</w:t>
            </w:r>
          </w:p>
        </w:tc>
        <w:tc>
          <w:tcPr>
            <w:tcW w:w="10931" w:type="dxa"/>
            <w:tcBorders>
              <w:top w:val="single" w:color="auto" w:sz="4" w:space="0"/>
              <w:left w:val="nil"/>
              <w:bottom w:val="single" w:color="auto" w:sz="4" w:space="0"/>
              <w:right w:val="single" w:color="auto" w:sz="4" w:space="0"/>
            </w:tcBorders>
            <w:noWrap/>
          </w:tcPr>
          <w:p w14:paraId="7AEF8A4C">
            <w:pPr>
              <w:widowControl/>
              <w:jc w:val="center"/>
              <w:rPr>
                <w:rFonts w:ascii="仿宋" w:hAnsi="仿宋" w:eastAsia="仿宋" w:cs="Arial"/>
                <w:b/>
                <w:bCs/>
                <w:sz w:val="32"/>
                <w:szCs w:val="32"/>
              </w:rPr>
            </w:pPr>
            <w:r>
              <w:rPr>
                <w:rFonts w:hint="eastAsia" w:ascii="仿宋" w:hAnsi="仿宋" w:eastAsia="仿宋"/>
                <w:b/>
                <w:bCs/>
                <w:sz w:val="32"/>
                <w:szCs w:val="32"/>
              </w:rPr>
              <w:t>行业、部门法律普及内容</w:t>
            </w:r>
          </w:p>
        </w:tc>
      </w:tr>
      <w:tr w14:paraId="51777EF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07"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361AD3D1">
            <w:pPr>
              <w:jc w:val="center"/>
              <w:rPr>
                <w:rFonts w:ascii="仿宋" w:hAnsi="仿宋" w:eastAsia="仿宋" w:cs="Lucida Sans"/>
                <w:sz w:val="28"/>
                <w:szCs w:val="28"/>
              </w:rPr>
            </w:pPr>
            <w:r>
              <w:rPr>
                <w:rFonts w:hint="eastAsia" w:ascii="仿宋" w:hAnsi="仿宋" w:eastAsia="仿宋" w:cs="Lucida Sans"/>
                <w:sz w:val="28"/>
                <w:szCs w:val="28"/>
              </w:rPr>
              <w:t>1</w:t>
            </w:r>
          </w:p>
        </w:tc>
        <w:tc>
          <w:tcPr>
            <w:tcW w:w="1749" w:type="dxa"/>
            <w:tcBorders>
              <w:top w:val="single" w:color="auto" w:sz="4" w:space="0"/>
              <w:left w:val="nil"/>
              <w:bottom w:val="single" w:color="auto" w:sz="4" w:space="0"/>
              <w:right w:val="single" w:color="auto" w:sz="4" w:space="0"/>
            </w:tcBorders>
            <w:noWrap/>
            <w:vAlign w:val="center"/>
          </w:tcPr>
          <w:p w14:paraId="45C7DC85">
            <w:pPr>
              <w:widowControl/>
              <w:jc w:val="center"/>
              <w:rPr>
                <w:rFonts w:ascii="仿宋" w:hAnsi="仿宋" w:eastAsia="仿宋" w:cs="仿宋_GB2312"/>
                <w:sz w:val="28"/>
                <w:szCs w:val="28"/>
              </w:rPr>
            </w:pPr>
            <w:r>
              <w:rPr>
                <w:rFonts w:hint="eastAsia" w:ascii="仿宋" w:hAnsi="仿宋" w:eastAsia="仿宋" w:cs="仿宋_GB2312"/>
                <w:sz w:val="28"/>
                <w:szCs w:val="28"/>
              </w:rPr>
              <w:t>县纪委监委</w:t>
            </w:r>
          </w:p>
        </w:tc>
        <w:tc>
          <w:tcPr>
            <w:tcW w:w="10931" w:type="dxa"/>
            <w:tcBorders>
              <w:top w:val="single" w:color="auto" w:sz="4" w:space="0"/>
              <w:left w:val="nil"/>
              <w:bottom w:val="single" w:color="auto" w:sz="4" w:space="0"/>
              <w:right w:val="single" w:color="auto" w:sz="4" w:space="0"/>
            </w:tcBorders>
            <w:noWrap/>
            <w:vAlign w:val="center"/>
          </w:tcPr>
          <w:p w14:paraId="2BD891DE">
            <w:pPr>
              <w:autoSpaceDN w:val="0"/>
              <w:spacing w:line="360" w:lineRule="exact"/>
              <w:rPr>
                <w:rFonts w:ascii="仿宋" w:hAnsi="仿宋" w:eastAsia="仿宋" w:cs="仿宋_GB2312"/>
                <w:sz w:val="28"/>
                <w:szCs w:val="28"/>
              </w:rPr>
            </w:pPr>
            <w:r>
              <w:rPr>
                <w:rFonts w:hint="eastAsia" w:ascii="仿宋" w:hAnsi="仿宋" w:eastAsia="仿宋" w:cs="仿宋_GB2312"/>
                <w:sz w:val="28"/>
                <w:szCs w:val="28"/>
              </w:rPr>
              <w:t xml:space="preserve">    重点宣传普及公职人员政务处分法、监察官法、监察法及其实施条例、中国共产党纪律检查委员会工作条例、中国共产党纪律处分条例、中国共产党巡视工作条例等法律法规。</w:t>
            </w:r>
          </w:p>
        </w:tc>
      </w:tr>
      <w:tr w14:paraId="115C5A9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56B90759">
            <w:pPr>
              <w:jc w:val="center"/>
              <w:rPr>
                <w:rFonts w:ascii="仿宋" w:hAnsi="仿宋" w:eastAsia="仿宋" w:cs="Lucida Sans"/>
                <w:sz w:val="28"/>
                <w:szCs w:val="28"/>
              </w:rPr>
            </w:pPr>
            <w:r>
              <w:rPr>
                <w:rFonts w:hint="eastAsia" w:ascii="仿宋" w:hAnsi="仿宋" w:eastAsia="仿宋" w:cs="Lucida Sans"/>
                <w:sz w:val="28"/>
                <w:szCs w:val="28"/>
              </w:rPr>
              <w:t>2</w:t>
            </w:r>
          </w:p>
        </w:tc>
        <w:tc>
          <w:tcPr>
            <w:tcW w:w="1749" w:type="dxa"/>
            <w:tcBorders>
              <w:top w:val="single" w:color="auto" w:sz="4" w:space="0"/>
              <w:left w:val="nil"/>
              <w:bottom w:val="single" w:color="auto" w:sz="4" w:space="0"/>
              <w:right w:val="single" w:color="auto" w:sz="4" w:space="0"/>
            </w:tcBorders>
            <w:noWrap/>
            <w:vAlign w:val="center"/>
          </w:tcPr>
          <w:p w14:paraId="330B37DA">
            <w:pPr>
              <w:widowControl/>
              <w:jc w:val="center"/>
              <w:rPr>
                <w:rFonts w:ascii="仿宋" w:hAnsi="仿宋" w:eastAsia="仿宋" w:cs="仿宋_GB2312"/>
                <w:sz w:val="28"/>
                <w:szCs w:val="28"/>
              </w:rPr>
            </w:pPr>
            <w:r>
              <w:rPr>
                <w:rFonts w:hint="eastAsia" w:ascii="仿宋" w:hAnsi="仿宋" w:eastAsia="仿宋" w:cs="仿宋_GB2312"/>
                <w:sz w:val="28"/>
                <w:szCs w:val="28"/>
              </w:rPr>
              <w:t>县委办</w:t>
            </w:r>
          </w:p>
        </w:tc>
        <w:tc>
          <w:tcPr>
            <w:tcW w:w="10931" w:type="dxa"/>
            <w:tcBorders>
              <w:top w:val="single" w:color="auto" w:sz="4" w:space="0"/>
              <w:left w:val="nil"/>
              <w:bottom w:val="single" w:color="auto" w:sz="4" w:space="0"/>
              <w:right w:val="single" w:color="auto" w:sz="4" w:space="0"/>
            </w:tcBorders>
            <w:noWrap/>
            <w:vAlign w:val="center"/>
          </w:tcPr>
          <w:p w14:paraId="72E80867">
            <w:pPr>
              <w:autoSpaceDN w:val="0"/>
              <w:spacing w:line="360" w:lineRule="exact"/>
              <w:rPr>
                <w:rFonts w:ascii="仿宋" w:hAnsi="仿宋" w:eastAsia="仿宋" w:cs="仿宋_GB2312"/>
                <w:sz w:val="28"/>
                <w:szCs w:val="28"/>
              </w:rPr>
            </w:pPr>
            <w:r>
              <w:rPr>
                <w:rFonts w:hint="eastAsia" w:ascii="仿宋" w:hAnsi="仿宋" w:eastAsia="仿宋" w:cs="仿宋_GB2312"/>
                <w:sz w:val="28"/>
                <w:szCs w:val="28"/>
              </w:rPr>
              <w:t xml:space="preserve">    重点宣传普及国家安全法、反分裂国家法、台湾同胞投资保护法、香港特别行政区维护国家安全法、国家保密法、外商投资法、归侨侨眷权益保护法及其实施办法、湖南省实施《台湾同胞投资保护法》以及因公出国（境）管理、港澳、涉台工作相关法律法规政策。</w:t>
            </w:r>
          </w:p>
        </w:tc>
      </w:tr>
      <w:tr w14:paraId="12D825F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5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6FC9C6A">
            <w:pPr>
              <w:jc w:val="center"/>
              <w:rPr>
                <w:rFonts w:ascii="仿宋" w:hAnsi="仿宋" w:eastAsia="仿宋" w:cs="Lucida Sans"/>
                <w:sz w:val="28"/>
                <w:szCs w:val="28"/>
              </w:rPr>
            </w:pPr>
            <w:r>
              <w:rPr>
                <w:rFonts w:hint="eastAsia" w:ascii="仿宋" w:hAnsi="仿宋" w:eastAsia="仿宋" w:cs="Lucida Sans"/>
                <w:sz w:val="28"/>
                <w:szCs w:val="28"/>
              </w:rPr>
              <w:t>3</w:t>
            </w:r>
          </w:p>
        </w:tc>
        <w:tc>
          <w:tcPr>
            <w:tcW w:w="1749" w:type="dxa"/>
            <w:tcBorders>
              <w:top w:val="single" w:color="auto" w:sz="4" w:space="0"/>
              <w:left w:val="nil"/>
              <w:bottom w:val="single" w:color="auto" w:sz="4" w:space="0"/>
              <w:right w:val="single" w:color="auto" w:sz="4" w:space="0"/>
            </w:tcBorders>
            <w:noWrap/>
            <w:vAlign w:val="center"/>
          </w:tcPr>
          <w:p w14:paraId="6AEB3B9E">
            <w:pPr>
              <w:widowControl/>
              <w:jc w:val="center"/>
              <w:rPr>
                <w:rFonts w:ascii="仿宋" w:hAnsi="仿宋" w:eastAsia="仿宋" w:cs="仿宋_GB2312"/>
                <w:sz w:val="28"/>
                <w:szCs w:val="28"/>
              </w:rPr>
            </w:pPr>
            <w:r>
              <w:rPr>
                <w:rFonts w:hint="eastAsia" w:ascii="仿宋" w:hAnsi="仿宋" w:eastAsia="仿宋" w:cs="仿宋_GB2312"/>
                <w:sz w:val="28"/>
                <w:szCs w:val="28"/>
              </w:rPr>
              <w:t>县委宣传部</w:t>
            </w:r>
          </w:p>
        </w:tc>
        <w:tc>
          <w:tcPr>
            <w:tcW w:w="10931" w:type="dxa"/>
            <w:tcBorders>
              <w:top w:val="single" w:color="auto" w:sz="4" w:space="0"/>
              <w:left w:val="nil"/>
              <w:bottom w:val="single" w:color="auto" w:sz="4" w:space="0"/>
              <w:right w:val="single" w:color="auto" w:sz="4" w:space="0"/>
            </w:tcBorders>
            <w:noWrap/>
            <w:vAlign w:val="center"/>
          </w:tcPr>
          <w:p w14:paraId="7115575A">
            <w:pPr>
              <w:autoSpaceDN w:val="0"/>
              <w:spacing w:line="3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重点宣传普及著作权法和网络安全法、数据安全法、个人信息保护法、计算机信息系统安全保护条例、计算机软件保护条例、计算机信息网络国际联网安全保护管理办法、互联网信息服务管理办法、网络信息内容生态治理规定、区块链信息服务管理规定、互联网新闻信息服务管理规定、互联网信息内容管理行政执法程序规定、互联网新闻信息服务单位内容管理从业人员管理办法、湖南省网络安全和信息化条例、互联网跟帖评论服务管理规定等法律法规。</w:t>
            </w:r>
          </w:p>
        </w:tc>
      </w:tr>
      <w:tr w14:paraId="2F371A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73"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3C33F9F6">
            <w:pPr>
              <w:jc w:val="center"/>
              <w:rPr>
                <w:rFonts w:ascii="仿宋" w:hAnsi="仿宋" w:eastAsia="仿宋" w:cs="Lucida Sans"/>
                <w:sz w:val="28"/>
                <w:szCs w:val="28"/>
              </w:rPr>
            </w:pPr>
            <w:r>
              <w:rPr>
                <w:rFonts w:hint="eastAsia" w:ascii="仿宋" w:hAnsi="仿宋" w:eastAsia="仿宋" w:cs="Lucida Sans"/>
                <w:sz w:val="28"/>
                <w:szCs w:val="28"/>
              </w:rPr>
              <w:t>4</w:t>
            </w:r>
          </w:p>
        </w:tc>
        <w:tc>
          <w:tcPr>
            <w:tcW w:w="1749" w:type="dxa"/>
            <w:tcBorders>
              <w:top w:val="single" w:color="auto" w:sz="4" w:space="0"/>
              <w:left w:val="nil"/>
              <w:bottom w:val="single" w:color="auto" w:sz="4" w:space="0"/>
              <w:right w:val="single" w:color="auto" w:sz="4" w:space="0"/>
            </w:tcBorders>
            <w:noWrap/>
            <w:vAlign w:val="center"/>
          </w:tcPr>
          <w:p w14:paraId="5CF49F13">
            <w:pPr>
              <w:widowControl/>
              <w:jc w:val="center"/>
              <w:rPr>
                <w:rFonts w:ascii="仿宋" w:hAnsi="仿宋" w:eastAsia="仿宋" w:cs="仿宋_GB2312"/>
                <w:sz w:val="28"/>
                <w:szCs w:val="28"/>
              </w:rPr>
            </w:pPr>
            <w:r>
              <w:rPr>
                <w:rFonts w:hint="eastAsia" w:ascii="仿宋" w:hAnsi="仿宋" w:eastAsia="仿宋" w:cs="仿宋_GB2312"/>
                <w:sz w:val="28"/>
                <w:szCs w:val="28"/>
              </w:rPr>
              <w:t>县委统战部</w:t>
            </w:r>
          </w:p>
        </w:tc>
        <w:tc>
          <w:tcPr>
            <w:tcW w:w="10931" w:type="dxa"/>
            <w:tcBorders>
              <w:top w:val="single" w:color="auto" w:sz="4" w:space="0"/>
              <w:left w:val="nil"/>
              <w:bottom w:val="single" w:color="auto" w:sz="4" w:space="0"/>
              <w:right w:val="single" w:color="auto" w:sz="4" w:space="0"/>
            </w:tcBorders>
            <w:noWrap/>
            <w:vAlign w:val="center"/>
          </w:tcPr>
          <w:p w14:paraId="75A47657">
            <w:pPr>
              <w:pStyle w:val="7"/>
              <w:spacing w:line="360" w:lineRule="exact"/>
              <w:ind w:firstLine="560"/>
              <w:rPr>
                <w:rFonts w:ascii="仿宋" w:hAnsi="仿宋" w:eastAsia="仿宋" w:cs="仿宋_GB2312"/>
                <w:sz w:val="28"/>
              </w:rPr>
            </w:pPr>
            <w:r>
              <w:rPr>
                <w:rFonts w:hint="eastAsia" w:ascii="仿宋" w:hAnsi="仿宋" w:eastAsia="仿宋" w:cs="仿宋_GB2312"/>
                <w:sz w:val="28"/>
              </w:rPr>
              <w:t>重点宣传普及民族区域自治法、城市民族工作条例、民族乡行政工作条例、宗教事务条例、湖南省散居少数民族工作条例、湖南省宗教事务条例等民族宗教方面的法律法规。重点宣传税法、劳动法、劳动合同法、消费者权益保护法、产品质量法、公司法、企业破产法、反不正当竞争法、专利法、合伙企业法、个人独资企业法、商标法、反垄断法、广告法、乡村振兴促进法、优化营商环境条例等法律法规。</w:t>
            </w:r>
          </w:p>
        </w:tc>
      </w:tr>
      <w:tr w14:paraId="36528E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16D6C9CB">
            <w:pPr>
              <w:jc w:val="center"/>
              <w:rPr>
                <w:rFonts w:ascii="仿宋" w:hAnsi="仿宋" w:eastAsia="仿宋" w:cs="Lucida Sans"/>
                <w:sz w:val="28"/>
                <w:szCs w:val="28"/>
              </w:rPr>
            </w:pPr>
            <w:r>
              <w:rPr>
                <w:rFonts w:hint="eastAsia" w:ascii="仿宋" w:hAnsi="仿宋" w:eastAsia="仿宋" w:cs="Lucida Sans"/>
                <w:sz w:val="28"/>
                <w:szCs w:val="28"/>
              </w:rPr>
              <w:t>5</w:t>
            </w:r>
          </w:p>
        </w:tc>
        <w:tc>
          <w:tcPr>
            <w:tcW w:w="1749" w:type="dxa"/>
            <w:tcBorders>
              <w:top w:val="single" w:color="auto" w:sz="4" w:space="0"/>
              <w:left w:val="nil"/>
              <w:bottom w:val="single" w:color="auto" w:sz="4" w:space="0"/>
              <w:right w:val="single" w:color="auto" w:sz="4" w:space="0"/>
            </w:tcBorders>
            <w:noWrap/>
            <w:vAlign w:val="center"/>
          </w:tcPr>
          <w:p w14:paraId="50F9914A">
            <w:pPr>
              <w:autoSpaceDN w:val="0"/>
              <w:spacing w:line="360" w:lineRule="exact"/>
              <w:jc w:val="center"/>
              <w:rPr>
                <w:rFonts w:ascii="仿宋" w:hAnsi="仿宋" w:eastAsia="仿宋" w:cs="仿宋_GB2312"/>
                <w:sz w:val="28"/>
                <w:szCs w:val="28"/>
              </w:rPr>
            </w:pPr>
            <w:r>
              <w:rPr>
                <w:rFonts w:hint="eastAsia" w:ascii="仿宋" w:hAnsi="仿宋" w:eastAsia="仿宋" w:cs="仿宋_GB2312"/>
                <w:sz w:val="28"/>
                <w:szCs w:val="28"/>
              </w:rPr>
              <w:t>县政府办</w:t>
            </w:r>
          </w:p>
        </w:tc>
        <w:tc>
          <w:tcPr>
            <w:tcW w:w="10931" w:type="dxa"/>
            <w:tcBorders>
              <w:top w:val="single" w:color="auto" w:sz="4" w:space="0"/>
              <w:left w:val="nil"/>
              <w:bottom w:val="single" w:color="auto" w:sz="4" w:space="0"/>
              <w:right w:val="single" w:color="auto" w:sz="4" w:space="0"/>
            </w:tcBorders>
            <w:noWrap/>
            <w:vAlign w:val="center"/>
          </w:tcPr>
          <w:p w14:paraId="6C04B381">
            <w:pPr>
              <w:autoSpaceDN w:val="0"/>
              <w:spacing w:line="3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重点宣传普及融资担保公司监督管理条例、防范和处置非法集资条例和反洗钱、防范非法集资等方面的法律法规。</w:t>
            </w:r>
          </w:p>
        </w:tc>
      </w:tr>
      <w:tr w14:paraId="3C480A8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30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0BF84CAA">
            <w:pPr>
              <w:jc w:val="center"/>
              <w:rPr>
                <w:rFonts w:ascii="仿宋" w:hAnsi="仿宋" w:eastAsia="仿宋" w:cs="Lucida Sans"/>
                <w:sz w:val="28"/>
                <w:szCs w:val="28"/>
              </w:rPr>
            </w:pPr>
            <w:r>
              <w:rPr>
                <w:rFonts w:hint="eastAsia" w:ascii="仿宋" w:hAnsi="仿宋" w:eastAsia="仿宋" w:cs="Lucida Sans"/>
                <w:sz w:val="28"/>
                <w:szCs w:val="28"/>
              </w:rPr>
              <w:t>6</w:t>
            </w:r>
          </w:p>
        </w:tc>
        <w:tc>
          <w:tcPr>
            <w:tcW w:w="1749" w:type="dxa"/>
            <w:tcBorders>
              <w:top w:val="single" w:color="auto" w:sz="4" w:space="0"/>
              <w:left w:val="nil"/>
              <w:bottom w:val="single" w:color="auto" w:sz="4" w:space="0"/>
              <w:right w:val="single" w:color="auto" w:sz="4" w:space="0"/>
            </w:tcBorders>
            <w:noWrap/>
            <w:vAlign w:val="center"/>
          </w:tcPr>
          <w:p w14:paraId="4A29E968">
            <w:pPr>
              <w:widowControl/>
              <w:jc w:val="center"/>
              <w:rPr>
                <w:rFonts w:ascii="仿宋" w:hAnsi="仿宋" w:eastAsia="仿宋" w:cs="仿宋_GB2312"/>
                <w:sz w:val="28"/>
                <w:szCs w:val="28"/>
              </w:rPr>
            </w:pPr>
            <w:r>
              <w:rPr>
                <w:rFonts w:hint="eastAsia" w:ascii="仿宋" w:hAnsi="仿宋" w:eastAsia="仿宋" w:cs="仿宋_GB2312"/>
                <w:sz w:val="28"/>
                <w:szCs w:val="28"/>
              </w:rPr>
              <w:t>县人民法院</w:t>
            </w:r>
          </w:p>
        </w:tc>
        <w:tc>
          <w:tcPr>
            <w:tcW w:w="10931" w:type="dxa"/>
            <w:tcBorders>
              <w:top w:val="single" w:color="auto" w:sz="4" w:space="0"/>
              <w:left w:val="nil"/>
              <w:bottom w:val="single" w:color="auto" w:sz="4" w:space="0"/>
              <w:right w:val="single" w:color="auto" w:sz="4" w:space="0"/>
            </w:tcBorders>
            <w:noWrap/>
            <w:vAlign w:val="center"/>
          </w:tcPr>
          <w:p w14:paraId="761A41E3">
            <w:pPr>
              <w:pStyle w:val="7"/>
              <w:spacing w:line="360" w:lineRule="exact"/>
              <w:ind w:firstLine="560"/>
              <w:rPr>
                <w:rFonts w:ascii="仿宋" w:hAnsi="仿宋" w:eastAsia="仿宋" w:cs="仿宋_GB2312"/>
                <w:sz w:val="28"/>
              </w:rPr>
            </w:pPr>
            <w:r>
              <w:rPr>
                <w:rFonts w:hint="eastAsia" w:ascii="仿宋" w:hAnsi="仿宋" w:eastAsia="仿宋" w:cs="仿宋_GB2312"/>
                <w:sz w:val="28"/>
              </w:rPr>
              <w:t>重点宣传普及刑法、刑事诉讼法、民法典、民事诉讼法、行政诉讼法、行政处罚法、行政强制法、国家赔偿法等法律法规及“两高”的司法解释，以及未成年人保护法、预防未成年人犯罪法、妇女权益保障法、老年人权益保障法、反家庭暴力法、劳动法、劳动合同法、消费者权益保护法、产品质量法、公司法、企业破产法、反不正当竞争法、专利法、反有组织犯罪法、野生动物保护法、行政复议法等法律法规。</w:t>
            </w:r>
          </w:p>
        </w:tc>
      </w:tr>
      <w:tr w14:paraId="4D70F80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2CA98459">
            <w:pPr>
              <w:jc w:val="center"/>
              <w:rPr>
                <w:rFonts w:ascii="仿宋" w:hAnsi="仿宋" w:eastAsia="仿宋" w:cs="Lucida Sans"/>
                <w:sz w:val="28"/>
                <w:szCs w:val="28"/>
              </w:rPr>
            </w:pPr>
            <w:r>
              <w:rPr>
                <w:rFonts w:hint="eastAsia" w:ascii="仿宋" w:hAnsi="仿宋" w:eastAsia="仿宋" w:cs="Lucida Sans"/>
                <w:sz w:val="28"/>
                <w:szCs w:val="28"/>
              </w:rPr>
              <w:t>7</w:t>
            </w:r>
          </w:p>
        </w:tc>
        <w:tc>
          <w:tcPr>
            <w:tcW w:w="1749" w:type="dxa"/>
            <w:tcBorders>
              <w:top w:val="single" w:color="auto" w:sz="4" w:space="0"/>
              <w:left w:val="nil"/>
              <w:bottom w:val="single" w:color="auto" w:sz="4" w:space="0"/>
              <w:right w:val="single" w:color="auto" w:sz="4" w:space="0"/>
            </w:tcBorders>
            <w:noWrap/>
            <w:vAlign w:val="center"/>
          </w:tcPr>
          <w:p w14:paraId="52BE3974">
            <w:pPr>
              <w:widowControl/>
              <w:jc w:val="center"/>
              <w:rPr>
                <w:rFonts w:ascii="仿宋" w:hAnsi="仿宋" w:eastAsia="仿宋" w:cs="仿宋_GB2312"/>
                <w:sz w:val="28"/>
                <w:szCs w:val="28"/>
              </w:rPr>
            </w:pPr>
            <w:r>
              <w:rPr>
                <w:rFonts w:hint="eastAsia" w:ascii="仿宋" w:hAnsi="仿宋" w:eastAsia="仿宋" w:cs="仿宋_GB2312"/>
                <w:sz w:val="28"/>
                <w:szCs w:val="28"/>
              </w:rPr>
              <w:t>县人民</w:t>
            </w:r>
          </w:p>
          <w:p w14:paraId="5FA4EE31">
            <w:pPr>
              <w:widowControl/>
              <w:jc w:val="center"/>
              <w:rPr>
                <w:rFonts w:ascii="仿宋" w:hAnsi="仿宋" w:eastAsia="仿宋" w:cs="仿宋_GB2312"/>
                <w:sz w:val="28"/>
                <w:szCs w:val="28"/>
              </w:rPr>
            </w:pPr>
            <w:r>
              <w:rPr>
                <w:rFonts w:hint="eastAsia" w:ascii="仿宋" w:hAnsi="仿宋" w:eastAsia="仿宋" w:cs="仿宋_GB2312"/>
                <w:sz w:val="28"/>
                <w:szCs w:val="28"/>
              </w:rPr>
              <w:t>检察院</w:t>
            </w:r>
          </w:p>
        </w:tc>
        <w:tc>
          <w:tcPr>
            <w:tcW w:w="10931" w:type="dxa"/>
            <w:tcBorders>
              <w:top w:val="single" w:color="auto" w:sz="4" w:space="0"/>
              <w:left w:val="nil"/>
              <w:bottom w:val="single" w:color="auto" w:sz="4" w:space="0"/>
              <w:right w:val="single" w:color="auto" w:sz="4" w:space="0"/>
            </w:tcBorders>
            <w:noWrap/>
            <w:vAlign w:val="center"/>
          </w:tcPr>
          <w:p w14:paraId="79CFB43D">
            <w:pPr>
              <w:pStyle w:val="7"/>
              <w:spacing w:line="340" w:lineRule="exact"/>
              <w:ind w:firstLine="0" w:firstLineChars="0"/>
              <w:rPr>
                <w:rFonts w:ascii="仿宋" w:hAnsi="仿宋" w:eastAsia="仿宋" w:cs="仿宋_GB2312"/>
                <w:sz w:val="28"/>
              </w:rPr>
            </w:pPr>
            <w:r>
              <w:rPr>
                <w:rFonts w:hint="eastAsia" w:ascii="仿宋" w:hAnsi="仿宋" w:eastAsia="仿宋" w:cs="仿宋_GB2312"/>
                <w:sz w:val="28"/>
              </w:rPr>
              <w:t xml:space="preserve">    重点宣传普及刑法、刑事诉讼法、民法典、民事诉讼法、行政诉讼法、行政处罚法、行政强制法、国家赔偿法、社区矫正法等法律法规及“两高”的司法解释，以及未成年人保护法、预防未成年人犯罪法、妇女权益保障法、老年人权益保障法、反家庭暴力法、反有组织犯罪法、个人信息保护法、湿地保护法、反电信网络诈骗法、防范和处置非法集资条例、环境保护法等法律法规。</w:t>
            </w:r>
          </w:p>
        </w:tc>
      </w:tr>
      <w:tr w14:paraId="24A9E1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07"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34A36069">
            <w:pPr>
              <w:jc w:val="center"/>
              <w:rPr>
                <w:rFonts w:ascii="宋体" w:eastAsia="宋体" w:cs="Lucida Sans"/>
                <w:sz w:val="24"/>
              </w:rPr>
            </w:pPr>
            <w:r>
              <w:rPr>
                <w:rFonts w:hint="eastAsia" w:ascii="宋体" w:eastAsia="宋体" w:cs="Lucida Sans"/>
                <w:sz w:val="24"/>
              </w:rPr>
              <w:t>8</w:t>
            </w:r>
          </w:p>
        </w:tc>
        <w:tc>
          <w:tcPr>
            <w:tcW w:w="1749" w:type="dxa"/>
            <w:tcBorders>
              <w:top w:val="single" w:color="auto" w:sz="4" w:space="0"/>
              <w:left w:val="nil"/>
              <w:bottom w:val="single" w:color="auto" w:sz="4" w:space="0"/>
              <w:right w:val="single" w:color="auto" w:sz="4" w:space="0"/>
            </w:tcBorders>
            <w:noWrap/>
            <w:vAlign w:val="center"/>
          </w:tcPr>
          <w:p w14:paraId="7FD3497A">
            <w:pPr>
              <w:widowControl/>
              <w:jc w:val="center"/>
              <w:rPr>
                <w:rFonts w:ascii="仿宋" w:hAnsi="仿宋" w:eastAsia="仿宋" w:cs="仿宋_GB2312"/>
                <w:sz w:val="30"/>
                <w:szCs w:val="30"/>
              </w:rPr>
            </w:pPr>
            <w:r>
              <w:rPr>
                <w:rFonts w:hint="eastAsia" w:ascii="仿宋" w:hAnsi="仿宋" w:eastAsia="仿宋" w:cs="仿宋_GB2312"/>
                <w:sz w:val="30"/>
                <w:szCs w:val="30"/>
              </w:rPr>
              <w:t>县发改局</w:t>
            </w:r>
          </w:p>
        </w:tc>
        <w:tc>
          <w:tcPr>
            <w:tcW w:w="10931" w:type="dxa"/>
            <w:tcBorders>
              <w:top w:val="single" w:color="auto" w:sz="4" w:space="0"/>
              <w:left w:val="nil"/>
              <w:bottom w:val="single" w:color="auto" w:sz="4" w:space="0"/>
              <w:right w:val="single" w:color="auto" w:sz="4" w:space="0"/>
            </w:tcBorders>
            <w:noWrap/>
            <w:vAlign w:val="center"/>
          </w:tcPr>
          <w:p w14:paraId="140503A4">
            <w:pPr>
              <w:autoSpaceDN w:val="0"/>
              <w:spacing w:line="320" w:lineRule="exact"/>
              <w:rPr>
                <w:rFonts w:ascii="仿宋" w:hAnsi="仿宋" w:eastAsia="仿宋" w:cs="仿宋_GB2312"/>
                <w:sz w:val="30"/>
                <w:szCs w:val="30"/>
              </w:rPr>
            </w:pPr>
            <w:r>
              <w:rPr>
                <w:rFonts w:hint="eastAsia" w:ascii="仿宋" w:hAnsi="仿宋" w:eastAsia="仿宋" w:cs="仿宋_GB2312"/>
                <w:sz w:val="30"/>
                <w:szCs w:val="30"/>
              </w:rPr>
              <w:t xml:space="preserve">   </w:t>
            </w:r>
            <w:r>
              <w:rPr>
                <w:rFonts w:hint="eastAsia" w:ascii="仿宋" w:hAnsi="仿宋" w:eastAsia="仿宋" w:cs="仿宋_GB2312"/>
                <w:bCs/>
                <w:sz w:val="28"/>
                <w:szCs w:val="28"/>
              </w:rPr>
              <w:t xml:space="preserve"> 重点宣传普及宏观调控法律法规，循环经济促进法、节约能源法、可再生能源法、长江保护法、矿山安全法、招标投标法、价格法、老年人权益保障法、反食品浪费法、优化营商环境提条例、招标投标法实施条例、湖南省信用条例、湖南省长株潭生态绿心地区保护条例、湖南省洞庭湖保护条例、政府投资条例、企业投资项目核准和备案管理条例、湖南省价格监督管理条例、湖南省优化营商环境规定、湖南省节能监察办法等法律法规。重点宣传普及对外贸易法、外商投资法、电子商务法、拍卖法、商业特许经营管理条例、对外承包工程管理条例、对外劳务合作管理条例、外商投资法实施条例、直销管理条例、中国（湖南）自由贸易试验区、反倾销条例、反补贴条例等法律法规。重点宣传普及国防法、国防动员法、人民防空法、军事设施保护法、国防教育法、湖南省实施《中华人民共和国人民防空法》办法等法律法规。</w:t>
            </w:r>
          </w:p>
        </w:tc>
      </w:tr>
      <w:tr w14:paraId="5C20484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779043A7">
            <w:pPr>
              <w:jc w:val="center"/>
              <w:rPr>
                <w:rFonts w:ascii="宋体" w:eastAsia="宋体" w:cs="Lucida Sans"/>
                <w:sz w:val="24"/>
              </w:rPr>
            </w:pPr>
            <w:r>
              <w:rPr>
                <w:rFonts w:hint="eastAsia" w:ascii="宋体" w:eastAsia="宋体" w:cs="Lucida Sans"/>
                <w:sz w:val="24"/>
              </w:rPr>
              <w:t>9</w:t>
            </w:r>
          </w:p>
        </w:tc>
        <w:tc>
          <w:tcPr>
            <w:tcW w:w="1749" w:type="dxa"/>
            <w:tcBorders>
              <w:top w:val="single" w:color="auto" w:sz="4" w:space="0"/>
              <w:left w:val="nil"/>
              <w:bottom w:val="single" w:color="auto" w:sz="4" w:space="0"/>
              <w:right w:val="single" w:color="auto" w:sz="4" w:space="0"/>
            </w:tcBorders>
            <w:noWrap/>
            <w:vAlign w:val="center"/>
          </w:tcPr>
          <w:p w14:paraId="58E654D4">
            <w:pPr>
              <w:widowControl/>
              <w:jc w:val="center"/>
              <w:rPr>
                <w:rFonts w:ascii="仿宋" w:hAnsi="仿宋" w:eastAsia="仿宋" w:cs="仿宋_GB2312"/>
                <w:sz w:val="30"/>
                <w:szCs w:val="30"/>
              </w:rPr>
            </w:pPr>
            <w:r>
              <w:rPr>
                <w:rFonts w:hint="eastAsia" w:ascii="仿宋" w:hAnsi="仿宋" w:eastAsia="仿宋" w:cs="仿宋_GB2312"/>
                <w:sz w:val="30"/>
                <w:szCs w:val="30"/>
              </w:rPr>
              <w:t>县教育局</w:t>
            </w:r>
          </w:p>
        </w:tc>
        <w:tc>
          <w:tcPr>
            <w:tcW w:w="10931" w:type="dxa"/>
            <w:tcBorders>
              <w:top w:val="single" w:color="auto" w:sz="4" w:space="0"/>
              <w:left w:val="nil"/>
              <w:bottom w:val="single" w:color="auto" w:sz="4" w:space="0"/>
              <w:right w:val="single" w:color="auto" w:sz="4" w:space="0"/>
            </w:tcBorders>
            <w:noWrap/>
            <w:vAlign w:val="center"/>
          </w:tcPr>
          <w:p w14:paraId="4AB164ED">
            <w:pPr>
              <w:pStyle w:val="7"/>
              <w:spacing w:line="320" w:lineRule="exact"/>
              <w:ind w:firstLine="0" w:firstLineChars="0"/>
              <w:rPr>
                <w:rFonts w:ascii="仿宋" w:hAnsi="仿宋" w:eastAsia="仿宋" w:cs="仿宋_GB2312"/>
                <w:szCs w:val="30"/>
              </w:rPr>
            </w:pPr>
            <w:r>
              <w:rPr>
                <w:rFonts w:hint="eastAsia" w:ascii="仿宋" w:hAnsi="仿宋" w:eastAsia="仿宋" w:cs="仿宋_GB2312"/>
                <w:szCs w:val="30"/>
              </w:rPr>
              <w:t xml:space="preserve">    重点宣传普及教育法、义务教育法、民办教育促进法、教师法、中外合资办学条例、职业教育法、国家通用语言文字法、家庭教育促进法、未成年人保护法、高等教育自学考试暂行条例、教师资格条例、学校条例、教育督导条例、湖南省教育督导条例、教学成果奖励条例、幼儿园管理条例、学校体育工作条例等法律法规。</w:t>
            </w:r>
          </w:p>
        </w:tc>
      </w:tr>
      <w:tr w14:paraId="7DE982C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1"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733CB51D">
            <w:pPr>
              <w:jc w:val="center"/>
              <w:rPr>
                <w:rFonts w:ascii="宋体" w:eastAsia="宋体" w:cs="Lucida Sans"/>
                <w:sz w:val="24"/>
              </w:rPr>
            </w:pPr>
            <w:r>
              <w:rPr>
                <w:rFonts w:hint="eastAsia" w:ascii="宋体" w:eastAsia="宋体" w:cs="Lucida Sans"/>
                <w:sz w:val="24"/>
              </w:rPr>
              <w:t>10</w:t>
            </w:r>
          </w:p>
        </w:tc>
        <w:tc>
          <w:tcPr>
            <w:tcW w:w="1749" w:type="dxa"/>
            <w:tcBorders>
              <w:top w:val="single" w:color="auto" w:sz="4" w:space="0"/>
              <w:left w:val="nil"/>
              <w:bottom w:val="single" w:color="auto" w:sz="4" w:space="0"/>
              <w:right w:val="single" w:color="auto" w:sz="4" w:space="0"/>
            </w:tcBorders>
            <w:noWrap/>
            <w:vAlign w:val="center"/>
          </w:tcPr>
          <w:p w14:paraId="15EED010">
            <w:pPr>
              <w:widowControl/>
              <w:jc w:val="center"/>
              <w:rPr>
                <w:rFonts w:ascii="仿宋" w:hAnsi="仿宋" w:eastAsia="仿宋" w:cs="仿宋_GB2312"/>
                <w:sz w:val="30"/>
                <w:szCs w:val="30"/>
              </w:rPr>
            </w:pPr>
            <w:r>
              <w:rPr>
                <w:rFonts w:hint="eastAsia" w:ascii="仿宋" w:hAnsi="仿宋" w:eastAsia="仿宋" w:cs="仿宋_GB2312"/>
                <w:sz w:val="30"/>
                <w:szCs w:val="30"/>
              </w:rPr>
              <w:t>县科工信局</w:t>
            </w:r>
          </w:p>
        </w:tc>
        <w:tc>
          <w:tcPr>
            <w:tcW w:w="10931" w:type="dxa"/>
            <w:tcBorders>
              <w:top w:val="single" w:color="auto" w:sz="4" w:space="0"/>
              <w:left w:val="nil"/>
              <w:bottom w:val="single" w:color="auto" w:sz="4" w:space="0"/>
              <w:right w:val="single" w:color="auto" w:sz="4" w:space="0"/>
            </w:tcBorders>
            <w:noWrap/>
            <w:vAlign w:val="center"/>
          </w:tcPr>
          <w:p w14:paraId="2EB9878A">
            <w:pPr>
              <w:autoSpaceDN w:val="0"/>
              <w:spacing w:line="320" w:lineRule="exact"/>
              <w:rPr>
                <w:rFonts w:ascii="仿宋" w:hAnsi="仿宋" w:eastAsia="仿宋" w:cs="仿宋_GB2312"/>
                <w:sz w:val="28"/>
                <w:szCs w:val="28"/>
              </w:rPr>
            </w:pPr>
            <w:r>
              <w:rPr>
                <w:rFonts w:hint="eastAsia" w:ascii="仿宋" w:hAnsi="仿宋" w:eastAsia="仿宋" w:cs="仿宋_GB2312"/>
                <w:sz w:val="28"/>
                <w:szCs w:val="28"/>
              </w:rPr>
              <w:t xml:space="preserve">    重点宣传普及科学技术进步法、科学技术普及法、促进科技成果转化法、国家科学技术奖励条例、实验动物管理条例、湖南省科学技术普及条例、湖南省长株潭国家自主创新示范区条例、湖南省高新技术发展条例、湖南省技术市场条例、湖南省科学技术进步条例、湖南省实施《中华人民共和国促进科技成果转化法》办法、湖南省实施《实验动物管理条例》办法、湖南省科学技术奖励办法、中小型企业促进法、节约能源法等法律法规。</w:t>
            </w:r>
          </w:p>
        </w:tc>
      </w:tr>
      <w:tr w14:paraId="4D653F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8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50D7D4FB">
            <w:pPr>
              <w:jc w:val="center"/>
              <w:rPr>
                <w:rFonts w:ascii="宋体" w:eastAsia="宋体" w:cs="Lucida Sans"/>
                <w:sz w:val="24"/>
              </w:rPr>
            </w:pPr>
            <w:r>
              <w:rPr>
                <w:rFonts w:hint="eastAsia" w:ascii="宋体" w:eastAsia="宋体" w:cs="Lucida Sans"/>
                <w:sz w:val="24"/>
              </w:rPr>
              <w:t>11</w:t>
            </w:r>
          </w:p>
        </w:tc>
        <w:tc>
          <w:tcPr>
            <w:tcW w:w="1749" w:type="dxa"/>
            <w:tcBorders>
              <w:top w:val="single" w:color="auto" w:sz="4" w:space="0"/>
              <w:left w:val="nil"/>
              <w:bottom w:val="single" w:color="auto" w:sz="4" w:space="0"/>
              <w:right w:val="single" w:color="auto" w:sz="4" w:space="0"/>
            </w:tcBorders>
            <w:noWrap/>
            <w:vAlign w:val="center"/>
          </w:tcPr>
          <w:p w14:paraId="237158E8">
            <w:pPr>
              <w:widowControl/>
              <w:jc w:val="center"/>
              <w:rPr>
                <w:rFonts w:ascii="仿宋" w:hAnsi="仿宋" w:eastAsia="仿宋" w:cs="仿宋_GB2312"/>
                <w:sz w:val="30"/>
                <w:szCs w:val="30"/>
              </w:rPr>
            </w:pPr>
            <w:r>
              <w:rPr>
                <w:rFonts w:hint="eastAsia" w:ascii="仿宋" w:hAnsi="仿宋" w:eastAsia="仿宋" w:cs="仿宋_GB2312"/>
                <w:sz w:val="30"/>
                <w:szCs w:val="30"/>
              </w:rPr>
              <w:t>县公安局</w:t>
            </w:r>
          </w:p>
        </w:tc>
        <w:tc>
          <w:tcPr>
            <w:tcW w:w="10931" w:type="dxa"/>
            <w:tcBorders>
              <w:top w:val="single" w:color="auto" w:sz="4" w:space="0"/>
              <w:left w:val="nil"/>
              <w:bottom w:val="single" w:color="auto" w:sz="4" w:space="0"/>
              <w:right w:val="single" w:color="auto" w:sz="4" w:space="0"/>
            </w:tcBorders>
            <w:noWrap/>
            <w:vAlign w:val="center"/>
          </w:tcPr>
          <w:p w14:paraId="4DDB850A">
            <w:pPr>
              <w:pStyle w:val="7"/>
              <w:spacing w:line="320" w:lineRule="exact"/>
              <w:ind w:firstLine="0" w:firstLineChars="0"/>
              <w:rPr>
                <w:rFonts w:ascii="仿宋" w:hAnsi="仿宋" w:eastAsia="仿宋" w:cs="仿宋_GB2312"/>
                <w:szCs w:val="30"/>
              </w:rPr>
            </w:pPr>
            <w:r>
              <w:rPr>
                <w:rFonts w:hint="eastAsia" w:ascii="仿宋" w:hAnsi="仿宋" w:eastAsia="仿宋" w:cs="仿宋_GB2312"/>
                <w:szCs w:val="30"/>
              </w:rPr>
              <w:t xml:space="preserve">    </w:t>
            </w:r>
            <w:r>
              <w:rPr>
                <w:rFonts w:hint="eastAsia" w:ascii="仿宋" w:hAnsi="仿宋" w:eastAsia="仿宋" w:cs="仿宋_GB2312"/>
                <w:sz w:val="28"/>
              </w:rPr>
              <w:t>重点宣传普及刑法、刑事诉讼法、国家安全法、反间谍法及其实施细则、治安管理处罚法、行政处罚法、民法典、行政复议法、国家赔偿法、行政强制法、人民警察法、人民武装警察法、道路交通安全法、居民身份证法、枪支管理法、戒严法、集会游行示威法、禁毒法、消防法、反恐怖主义法、护照法、出境入境管理法、反有组织犯罪法、网络安全法、数据安全法、反电信网络诈骗法、人民警察警衔条例、人民警察使用警械和武器条例、湖南省警务辅助人员条例、道路交通安全法管理条例、城市道路管理条例、校车安全管理条例、保安服务管理条例、危险化学品安全管理条例、易制毒化学品管理条例、烟花爆竹安全管理条例、民用爆炸物品安全管理条例、集会游行示威法实施条例、娱乐场所管理条例、公安机关督察条例、看守所条例、防范和处置非法集资条例、湖南省电动自行车管理办法、湖南省实施《中华人民共和国禁毒法》办法、湖南省实施《中华人民共和国反恐怖主义法》办法、湖南省旅馆业治安管理办法及反邪教有关的法律法规。</w:t>
            </w:r>
          </w:p>
        </w:tc>
      </w:tr>
      <w:tr w14:paraId="4F3BCE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8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28A3D691">
            <w:pPr>
              <w:jc w:val="center"/>
              <w:rPr>
                <w:rFonts w:ascii="宋体" w:eastAsia="宋体" w:cs="Lucida Sans"/>
                <w:sz w:val="24"/>
              </w:rPr>
            </w:pPr>
            <w:r>
              <w:rPr>
                <w:rFonts w:hint="eastAsia" w:ascii="宋体" w:eastAsia="宋体" w:cs="Lucida Sans"/>
                <w:sz w:val="24"/>
              </w:rPr>
              <w:t>12</w:t>
            </w:r>
          </w:p>
        </w:tc>
        <w:tc>
          <w:tcPr>
            <w:tcW w:w="1749" w:type="dxa"/>
            <w:tcBorders>
              <w:top w:val="single" w:color="auto" w:sz="4" w:space="0"/>
              <w:left w:val="nil"/>
              <w:bottom w:val="single" w:color="auto" w:sz="4" w:space="0"/>
              <w:right w:val="single" w:color="auto" w:sz="4" w:space="0"/>
            </w:tcBorders>
            <w:noWrap/>
            <w:vAlign w:val="center"/>
          </w:tcPr>
          <w:p w14:paraId="3C24EAD9">
            <w:pPr>
              <w:widowControl/>
              <w:jc w:val="center"/>
              <w:rPr>
                <w:rFonts w:ascii="仿宋" w:hAnsi="仿宋" w:eastAsia="仿宋" w:cs="仿宋_GB2312"/>
                <w:sz w:val="28"/>
                <w:szCs w:val="28"/>
              </w:rPr>
            </w:pPr>
            <w:r>
              <w:rPr>
                <w:rFonts w:hint="eastAsia" w:ascii="仿宋" w:hAnsi="仿宋" w:eastAsia="仿宋" w:cs="仿宋_GB2312"/>
                <w:sz w:val="28"/>
                <w:szCs w:val="28"/>
              </w:rPr>
              <w:t>县财政局</w:t>
            </w:r>
          </w:p>
        </w:tc>
        <w:tc>
          <w:tcPr>
            <w:tcW w:w="10931" w:type="dxa"/>
            <w:tcBorders>
              <w:top w:val="single" w:color="auto" w:sz="4" w:space="0"/>
              <w:left w:val="nil"/>
              <w:bottom w:val="single" w:color="auto" w:sz="4" w:space="0"/>
              <w:right w:val="single" w:color="auto" w:sz="4" w:space="0"/>
            </w:tcBorders>
            <w:noWrap/>
            <w:vAlign w:val="center"/>
          </w:tcPr>
          <w:p w14:paraId="6383121A">
            <w:pPr>
              <w:autoSpaceDN w:val="0"/>
              <w:spacing w:line="360" w:lineRule="exact"/>
              <w:rPr>
                <w:rFonts w:ascii="仿宋" w:hAnsi="仿宋" w:eastAsia="仿宋" w:cs="仿宋_GB2312"/>
                <w:bCs/>
                <w:sz w:val="28"/>
                <w:szCs w:val="28"/>
              </w:rPr>
            </w:pPr>
            <w:r>
              <w:rPr>
                <w:rFonts w:hint="eastAsia" w:ascii="仿宋" w:hAnsi="仿宋" w:eastAsia="仿宋" w:cs="仿宋_GB2312"/>
                <w:bCs/>
                <w:sz w:val="28"/>
                <w:szCs w:val="28"/>
              </w:rPr>
              <w:t xml:space="preserve">    重点宣传普及预算法及其实施条例、政府采购法及其实施条例、注册会计师法、资产评估法、会计法、税法、公司法、证券法、企业国有资产法、反垄断法、企业国有资产监督管理暂行条例、财政违法行为处罚处分条例、湖南省非说收入管理条例、湖南省财政监督条例、湖南省乡镇财政管理条例，以及其他预算管理、财务会计管理、政府采购监督管理、国有资产管理、政府非税收入管理、财政监督等方面的法律法规。</w:t>
            </w:r>
          </w:p>
        </w:tc>
      </w:tr>
      <w:tr w14:paraId="735C8E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4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95CAE14">
            <w:pPr>
              <w:jc w:val="center"/>
              <w:rPr>
                <w:rFonts w:ascii="宋体" w:eastAsia="宋体" w:cs="Lucida Sans"/>
                <w:sz w:val="24"/>
              </w:rPr>
            </w:pPr>
            <w:r>
              <w:rPr>
                <w:rFonts w:hint="eastAsia" w:ascii="宋体" w:eastAsia="宋体" w:cs="Lucida Sans"/>
                <w:sz w:val="24"/>
              </w:rPr>
              <w:t>13</w:t>
            </w:r>
          </w:p>
        </w:tc>
        <w:tc>
          <w:tcPr>
            <w:tcW w:w="1749" w:type="dxa"/>
            <w:tcBorders>
              <w:top w:val="single" w:color="auto" w:sz="4" w:space="0"/>
              <w:left w:val="nil"/>
              <w:bottom w:val="single" w:color="auto" w:sz="4" w:space="0"/>
              <w:right w:val="single" w:color="auto" w:sz="4" w:space="0"/>
            </w:tcBorders>
            <w:noWrap/>
            <w:vAlign w:val="center"/>
          </w:tcPr>
          <w:p w14:paraId="3E073AAE">
            <w:pPr>
              <w:widowControl/>
              <w:jc w:val="center"/>
              <w:rPr>
                <w:rFonts w:ascii="仿宋" w:hAnsi="仿宋" w:eastAsia="仿宋" w:cs="仿宋_GB2312"/>
                <w:sz w:val="28"/>
                <w:szCs w:val="28"/>
              </w:rPr>
            </w:pPr>
            <w:r>
              <w:rPr>
                <w:rFonts w:hint="eastAsia" w:ascii="仿宋" w:hAnsi="仿宋" w:eastAsia="仿宋" w:cs="仿宋_GB2312"/>
                <w:sz w:val="28"/>
                <w:szCs w:val="28"/>
              </w:rPr>
              <w:t>县人社局</w:t>
            </w:r>
          </w:p>
        </w:tc>
        <w:tc>
          <w:tcPr>
            <w:tcW w:w="10931" w:type="dxa"/>
            <w:tcBorders>
              <w:top w:val="single" w:color="auto" w:sz="4" w:space="0"/>
              <w:left w:val="nil"/>
              <w:bottom w:val="single" w:color="auto" w:sz="4" w:space="0"/>
              <w:right w:val="single" w:color="auto" w:sz="4" w:space="0"/>
            </w:tcBorders>
            <w:noWrap/>
            <w:vAlign w:val="center"/>
          </w:tcPr>
          <w:p w14:paraId="10405466">
            <w:pPr>
              <w:pStyle w:val="7"/>
              <w:spacing w:line="320" w:lineRule="exact"/>
              <w:ind w:firstLine="560"/>
              <w:rPr>
                <w:rFonts w:ascii="仿宋" w:hAnsi="仿宋" w:eastAsia="仿宋" w:cs="仿宋_GB2312"/>
                <w:sz w:val="28"/>
              </w:rPr>
            </w:pPr>
            <w:r>
              <w:rPr>
                <w:rFonts w:hint="eastAsia" w:ascii="仿宋" w:hAnsi="仿宋" w:eastAsia="仿宋" w:cs="仿宋_GB2312"/>
                <w:sz w:val="28"/>
              </w:rPr>
              <w:t>重点宣传普及劳动法、劳动合同法、就业促进法、社会保险法、职业教育法、劳动争议调解仲裁法、工伤保险条例、失业保险条例、劳动保障监察条例、湖南省职业教育条例、人力资源市场暂行条例、事业单位人事管理条例、职工带薪年休假条例、保障农民工工资支付条例、湖南省社会保险基金监管条例、湖南省实施《中华人民共和国就业促进法》办法等法律法规。</w:t>
            </w:r>
          </w:p>
        </w:tc>
      </w:tr>
      <w:tr w14:paraId="4C7EE71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94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2824A0D">
            <w:pPr>
              <w:jc w:val="center"/>
              <w:rPr>
                <w:rFonts w:ascii="宋体" w:eastAsia="宋体" w:cs="Lucida Sans"/>
                <w:sz w:val="24"/>
              </w:rPr>
            </w:pPr>
            <w:r>
              <w:rPr>
                <w:rFonts w:hint="eastAsia" w:ascii="宋体" w:eastAsia="宋体" w:cs="Lucida Sans"/>
                <w:sz w:val="24"/>
              </w:rPr>
              <w:t>14</w:t>
            </w:r>
          </w:p>
        </w:tc>
        <w:tc>
          <w:tcPr>
            <w:tcW w:w="1749" w:type="dxa"/>
            <w:tcBorders>
              <w:top w:val="single" w:color="auto" w:sz="4" w:space="0"/>
              <w:left w:val="nil"/>
              <w:bottom w:val="single" w:color="auto" w:sz="4" w:space="0"/>
              <w:right w:val="single" w:color="auto" w:sz="4" w:space="0"/>
            </w:tcBorders>
            <w:noWrap/>
            <w:vAlign w:val="center"/>
          </w:tcPr>
          <w:p w14:paraId="2E710C87">
            <w:pPr>
              <w:widowControl/>
              <w:jc w:val="center"/>
              <w:rPr>
                <w:rFonts w:ascii="仿宋" w:hAnsi="仿宋" w:eastAsia="仿宋" w:cs="仿宋_GB2312"/>
                <w:sz w:val="28"/>
                <w:szCs w:val="28"/>
              </w:rPr>
            </w:pPr>
            <w:r>
              <w:rPr>
                <w:rFonts w:hint="eastAsia" w:ascii="仿宋" w:hAnsi="仿宋" w:eastAsia="仿宋" w:cs="仿宋_GB2312"/>
                <w:sz w:val="28"/>
                <w:szCs w:val="28"/>
              </w:rPr>
              <w:t>县自然</w:t>
            </w:r>
          </w:p>
          <w:p w14:paraId="761D90F1">
            <w:pPr>
              <w:widowControl/>
              <w:jc w:val="center"/>
              <w:rPr>
                <w:rFonts w:ascii="仿宋" w:hAnsi="仿宋" w:eastAsia="仿宋" w:cs="仿宋_GB2312"/>
                <w:sz w:val="28"/>
                <w:szCs w:val="28"/>
              </w:rPr>
            </w:pPr>
            <w:r>
              <w:rPr>
                <w:rFonts w:hint="eastAsia" w:ascii="仿宋" w:hAnsi="仿宋" w:eastAsia="仿宋" w:cs="仿宋_GB2312"/>
                <w:sz w:val="28"/>
                <w:szCs w:val="28"/>
              </w:rPr>
              <w:t>资源局</w:t>
            </w:r>
          </w:p>
        </w:tc>
        <w:tc>
          <w:tcPr>
            <w:tcW w:w="10931" w:type="dxa"/>
            <w:tcBorders>
              <w:top w:val="single" w:color="auto" w:sz="4" w:space="0"/>
              <w:left w:val="nil"/>
              <w:bottom w:val="single" w:color="auto" w:sz="4" w:space="0"/>
              <w:right w:val="single" w:color="auto" w:sz="4" w:space="0"/>
            </w:tcBorders>
            <w:noWrap/>
            <w:vAlign w:val="center"/>
          </w:tcPr>
          <w:p w14:paraId="673A9398">
            <w:pPr>
              <w:pStyle w:val="7"/>
              <w:spacing w:line="320" w:lineRule="exact"/>
              <w:ind w:firstLine="560"/>
              <w:rPr>
                <w:rFonts w:ascii="仿宋" w:hAnsi="仿宋" w:eastAsia="仿宋" w:cs="仿宋_GB2312"/>
                <w:sz w:val="28"/>
              </w:rPr>
            </w:pPr>
            <w:r>
              <w:rPr>
                <w:rFonts w:hint="eastAsia" w:ascii="仿宋" w:hAnsi="仿宋" w:eastAsia="仿宋" w:cs="仿宋_GB2312"/>
                <w:sz w:val="28"/>
              </w:rPr>
              <w:t>重点宣传普及土地管理法、城乡规划法、测绘法、长江保护法、土壤污染防治法、行政许可法、矿产资源法、耕地占用税法、行政复议法、土地复垦条例、测绘成果管理条例、测量标志保护条例、基础测绘条例、地图管理条例、土地管理法实施条例、不动产登记暂行条例、土地调查条例、地下水管理条例、城镇国有土地使用权出让和转让暂行条例、基本农田保护条例、湖南省测绘地理信息条例、湖南省长株潭城市群生态绿心地区保护条例、湖南省环境保护条例、湖南省实施《中华人民共和国土地管理法》办法、湖南省实施《中华人民共和国城乡规划法》办法、湖南省居民自建房安全管理若干规定、湖南省农村住房建设管理办法、</w:t>
            </w:r>
            <w:r>
              <w:rPr>
                <w:rFonts w:hint="eastAsia" w:ascii="仿宋" w:hAnsi="仿宋" w:eastAsia="仿宋" w:cs="仿宋_GB2312"/>
                <w:kern w:val="0"/>
                <w:sz w:val="28"/>
              </w:rPr>
              <w:t>永州市摩崖石刻保护规定</w:t>
            </w:r>
            <w:r>
              <w:rPr>
                <w:rFonts w:hint="eastAsia" w:ascii="仿宋" w:hAnsi="仿宋" w:eastAsia="仿宋" w:cs="仿宋_GB2312"/>
                <w:sz w:val="28"/>
              </w:rPr>
              <w:t>等法律法规。</w:t>
            </w:r>
          </w:p>
        </w:tc>
      </w:tr>
      <w:tr w14:paraId="5E608B1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74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5C97B2ED">
            <w:pPr>
              <w:jc w:val="center"/>
              <w:rPr>
                <w:rFonts w:ascii="宋体" w:eastAsia="宋体" w:cs="Lucida Sans"/>
                <w:sz w:val="24"/>
              </w:rPr>
            </w:pPr>
            <w:r>
              <w:rPr>
                <w:rFonts w:hint="eastAsia" w:ascii="宋体" w:eastAsia="宋体" w:cs="Lucida Sans"/>
                <w:sz w:val="24"/>
              </w:rPr>
              <w:t>15</w:t>
            </w:r>
          </w:p>
        </w:tc>
        <w:tc>
          <w:tcPr>
            <w:tcW w:w="1749" w:type="dxa"/>
            <w:tcBorders>
              <w:top w:val="single" w:color="auto" w:sz="4" w:space="0"/>
              <w:left w:val="nil"/>
              <w:bottom w:val="single" w:color="auto" w:sz="4" w:space="0"/>
              <w:right w:val="single" w:color="auto" w:sz="4" w:space="0"/>
            </w:tcBorders>
            <w:noWrap/>
            <w:vAlign w:val="center"/>
          </w:tcPr>
          <w:p w14:paraId="3A3F8EA0">
            <w:pPr>
              <w:widowControl/>
              <w:jc w:val="center"/>
              <w:rPr>
                <w:rFonts w:ascii="仿宋" w:hAnsi="仿宋" w:eastAsia="仿宋" w:cs="仿宋_GB2312"/>
                <w:sz w:val="28"/>
                <w:szCs w:val="28"/>
              </w:rPr>
            </w:pPr>
            <w:r>
              <w:rPr>
                <w:rFonts w:hint="eastAsia" w:ascii="仿宋" w:hAnsi="仿宋" w:eastAsia="仿宋" w:cs="仿宋_GB2312"/>
                <w:sz w:val="28"/>
                <w:szCs w:val="28"/>
              </w:rPr>
              <w:t>县民政局</w:t>
            </w:r>
          </w:p>
        </w:tc>
        <w:tc>
          <w:tcPr>
            <w:tcW w:w="10931" w:type="dxa"/>
            <w:tcBorders>
              <w:top w:val="single" w:color="auto" w:sz="4" w:space="0"/>
              <w:left w:val="nil"/>
              <w:bottom w:val="single" w:color="auto" w:sz="4" w:space="0"/>
              <w:right w:val="single" w:color="auto" w:sz="4" w:space="0"/>
            </w:tcBorders>
            <w:noWrap/>
            <w:vAlign w:val="center"/>
          </w:tcPr>
          <w:p w14:paraId="199C05BB">
            <w:pPr>
              <w:autoSpaceDN w:val="0"/>
              <w:spacing w:line="320" w:lineRule="exact"/>
              <w:rPr>
                <w:rFonts w:ascii="仿宋" w:hAnsi="仿宋" w:eastAsia="仿宋" w:cs="仿宋_GB2312"/>
                <w:sz w:val="28"/>
                <w:szCs w:val="28"/>
              </w:rPr>
            </w:pPr>
            <w:r>
              <w:rPr>
                <w:rFonts w:hint="eastAsia" w:ascii="仿宋" w:hAnsi="仿宋" w:eastAsia="仿宋" w:cs="仿宋_GB2312"/>
                <w:sz w:val="28"/>
                <w:szCs w:val="28"/>
              </w:rPr>
              <w:t xml:space="preserve">    重点宣传普及未成年人保护法、老年人权益保障法、慈善法、残疾人保障法、公益事业捐赠法、无障碍环境建设条例、残疾预防和残疾人康复条例、残疾人就业条例、殡葬管理条例、行政区划管理条例、地名管理条例、行政区域界线管理条例、社会团体登记管理条例、基金会管理条例、民办非企业单位登记管理暂行条例、湖南省募捐条例、湖南省志愿服务条例、湖南省实施《中华人民共和国慈善法》若干规定、湖南省实施《中华人民共和国老年人权益保障法》办法、湖南省实施《中华人民共和国村民委员会组织法》办法、湖南省实施《中华人民共和国城市居民委员会组织法》办法、湖南省实施《中华人民共和国残疾人保障法》、湖南省社区居家养老助餐服务若干规定等法律法规。</w:t>
            </w:r>
          </w:p>
        </w:tc>
      </w:tr>
      <w:tr w14:paraId="1F8ABE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0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0793D63F">
            <w:pPr>
              <w:jc w:val="center"/>
              <w:rPr>
                <w:rFonts w:ascii="宋体" w:eastAsia="宋体" w:cs="Lucida Sans"/>
                <w:sz w:val="24"/>
              </w:rPr>
            </w:pPr>
            <w:r>
              <w:rPr>
                <w:rFonts w:hint="eastAsia" w:ascii="宋体" w:eastAsia="宋体" w:cs="Lucida Sans"/>
                <w:sz w:val="24"/>
              </w:rPr>
              <w:t>16</w:t>
            </w:r>
          </w:p>
        </w:tc>
        <w:tc>
          <w:tcPr>
            <w:tcW w:w="1749" w:type="dxa"/>
            <w:tcBorders>
              <w:top w:val="single" w:color="auto" w:sz="4" w:space="0"/>
              <w:left w:val="nil"/>
              <w:bottom w:val="single" w:color="auto" w:sz="4" w:space="0"/>
              <w:right w:val="single" w:color="auto" w:sz="4" w:space="0"/>
            </w:tcBorders>
            <w:noWrap/>
            <w:vAlign w:val="center"/>
          </w:tcPr>
          <w:p w14:paraId="7D939E2B">
            <w:pPr>
              <w:widowControl/>
              <w:jc w:val="center"/>
              <w:rPr>
                <w:rFonts w:ascii="仿宋" w:hAnsi="仿宋" w:eastAsia="仿宋" w:cs="仿宋_GB2312"/>
                <w:sz w:val="28"/>
                <w:szCs w:val="28"/>
              </w:rPr>
            </w:pPr>
            <w:r>
              <w:rPr>
                <w:rFonts w:hint="eastAsia" w:ascii="仿宋" w:hAnsi="仿宋" w:eastAsia="仿宋" w:cs="仿宋_GB2312"/>
                <w:sz w:val="28"/>
                <w:szCs w:val="28"/>
              </w:rPr>
              <w:t>县司法局</w:t>
            </w:r>
          </w:p>
        </w:tc>
        <w:tc>
          <w:tcPr>
            <w:tcW w:w="10931" w:type="dxa"/>
            <w:tcBorders>
              <w:top w:val="single" w:color="auto" w:sz="4" w:space="0"/>
              <w:left w:val="nil"/>
              <w:bottom w:val="single" w:color="auto" w:sz="4" w:space="0"/>
              <w:right w:val="single" w:color="auto" w:sz="4" w:space="0"/>
            </w:tcBorders>
            <w:noWrap/>
            <w:vAlign w:val="center"/>
          </w:tcPr>
          <w:p w14:paraId="74C96EDF">
            <w:pPr>
              <w:pStyle w:val="7"/>
              <w:spacing w:line="320" w:lineRule="exact"/>
              <w:ind w:firstLine="560"/>
              <w:rPr>
                <w:rFonts w:ascii="仿宋" w:hAnsi="仿宋" w:eastAsia="仿宋" w:cs="仿宋_GB2312"/>
                <w:sz w:val="28"/>
              </w:rPr>
            </w:pPr>
            <w:r>
              <w:rPr>
                <w:rFonts w:hint="eastAsia" w:ascii="仿宋" w:hAnsi="仿宋" w:eastAsia="仿宋" w:cs="仿宋_GB2312"/>
                <w:sz w:val="28"/>
              </w:rPr>
              <w:t>重点宣传普及宪法、民法典、爱国主义教育法、刑法、刑事诉讼法、未成年人保护法、监狱法、国家赔偿法、禁毒法、行政复议法、人民调解法、社区矫正法、预防未成年人犯罪法、行政诉讼法、民事诉讼法、保密法、信访工作条例、反有组织犯罪法、律师法、律师执业管理办法、公证法、公证执业管理办法、法律援助法、仲裁法、立法法、禁毒条例、湖南省法制宣传教育条例、行政复议实施条例、湖南省法律援助条例、优化营商环境条例等法律法规。</w:t>
            </w:r>
          </w:p>
        </w:tc>
      </w:tr>
      <w:tr w14:paraId="78069B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6B455E6C">
            <w:pPr>
              <w:jc w:val="center"/>
              <w:rPr>
                <w:rFonts w:ascii="宋体" w:eastAsia="宋体" w:cs="Lucida Sans"/>
                <w:sz w:val="24"/>
              </w:rPr>
            </w:pPr>
            <w:r>
              <w:rPr>
                <w:rFonts w:hint="eastAsia" w:ascii="宋体" w:eastAsia="宋体" w:cs="Lucida Sans"/>
                <w:sz w:val="24"/>
              </w:rPr>
              <w:t>17</w:t>
            </w:r>
          </w:p>
        </w:tc>
        <w:tc>
          <w:tcPr>
            <w:tcW w:w="1749" w:type="dxa"/>
            <w:tcBorders>
              <w:top w:val="single" w:color="auto" w:sz="4" w:space="0"/>
              <w:left w:val="nil"/>
              <w:bottom w:val="single" w:color="auto" w:sz="4" w:space="0"/>
              <w:right w:val="single" w:color="auto" w:sz="4" w:space="0"/>
            </w:tcBorders>
            <w:noWrap/>
            <w:vAlign w:val="center"/>
          </w:tcPr>
          <w:p w14:paraId="4ED4983E">
            <w:pPr>
              <w:widowControl/>
              <w:jc w:val="center"/>
              <w:rPr>
                <w:rFonts w:ascii="仿宋" w:hAnsi="仿宋" w:eastAsia="仿宋" w:cs="仿宋_GB2312"/>
                <w:sz w:val="28"/>
                <w:szCs w:val="28"/>
              </w:rPr>
            </w:pPr>
            <w:r>
              <w:rPr>
                <w:rFonts w:hint="eastAsia" w:ascii="仿宋" w:hAnsi="仿宋" w:eastAsia="仿宋" w:cs="仿宋_GB2312"/>
                <w:sz w:val="28"/>
                <w:szCs w:val="28"/>
              </w:rPr>
              <w:t>县交通</w:t>
            </w:r>
          </w:p>
          <w:p w14:paraId="4E5B6465">
            <w:pPr>
              <w:widowControl/>
              <w:jc w:val="center"/>
              <w:rPr>
                <w:rFonts w:ascii="仿宋" w:hAnsi="仿宋" w:eastAsia="仿宋" w:cs="仿宋_GB2312"/>
                <w:sz w:val="28"/>
                <w:szCs w:val="28"/>
              </w:rPr>
            </w:pPr>
            <w:r>
              <w:rPr>
                <w:rFonts w:hint="eastAsia" w:ascii="仿宋" w:hAnsi="仿宋" w:eastAsia="仿宋" w:cs="仿宋_GB2312"/>
                <w:sz w:val="28"/>
                <w:szCs w:val="28"/>
              </w:rPr>
              <w:t>运输局</w:t>
            </w:r>
          </w:p>
        </w:tc>
        <w:tc>
          <w:tcPr>
            <w:tcW w:w="10931" w:type="dxa"/>
            <w:tcBorders>
              <w:top w:val="single" w:color="auto" w:sz="4" w:space="0"/>
              <w:left w:val="nil"/>
              <w:bottom w:val="single" w:color="auto" w:sz="4" w:space="0"/>
              <w:right w:val="single" w:color="auto" w:sz="4" w:space="0"/>
            </w:tcBorders>
            <w:noWrap/>
            <w:vAlign w:val="center"/>
          </w:tcPr>
          <w:p w14:paraId="60A82898">
            <w:pPr>
              <w:pStyle w:val="7"/>
              <w:spacing w:line="320" w:lineRule="exact"/>
              <w:ind w:firstLine="560"/>
              <w:rPr>
                <w:rFonts w:ascii="仿宋" w:hAnsi="仿宋" w:eastAsia="仿宋" w:cs="仿宋_GB2312"/>
                <w:sz w:val="28"/>
              </w:rPr>
            </w:pPr>
            <w:r>
              <w:rPr>
                <w:rFonts w:hint="eastAsia" w:ascii="仿宋" w:hAnsi="仿宋" w:eastAsia="仿宋" w:cs="仿宋_GB2312"/>
                <w:sz w:val="28"/>
              </w:rPr>
              <w:t>重点宣传普及立法法、行政强制法、行政许可法、行政处罚法、行政复议法、行政诉讼法、公路法、港口法、航道法、长江保护法、安全生产法、公路安全保护条例、国内水路运输管理条例、内河交通安全管理条例、道路运输条例、湖南省水上交通安全条例、湖南省高速公路条例、湖南省乡村公路条例、湖南省道路运输条例、湖南省治理货物运输车辆超限超载条例、湖南省安全生产条例、湖南省铁路安全管理条例、湖南省交通建设工程质量与安全生产条例、湖南省实施《中华人民共和国公路法》办法、湖南省实施《中华人民共和国港口法》办法、路政管理规定等道路交通运输方面的法律法规。</w:t>
            </w:r>
          </w:p>
        </w:tc>
      </w:tr>
      <w:tr w14:paraId="4CF9CA6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26"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5719E8C0">
            <w:pPr>
              <w:jc w:val="center"/>
              <w:rPr>
                <w:rFonts w:ascii="宋体" w:eastAsia="宋体" w:cs="Lucida Sans"/>
                <w:sz w:val="24"/>
              </w:rPr>
            </w:pPr>
            <w:r>
              <w:rPr>
                <w:rFonts w:hint="eastAsia" w:ascii="宋体" w:eastAsia="宋体" w:cs="Lucida Sans"/>
                <w:sz w:val="24"/>
              </w:rPr>
              <w:t>18</w:t>
            </w:r>
          </w:p>
        </w:tc>
        <w:tc>
          <w:tcPr>
            <w:tcW w:w="1749" w:type="dxa"/>
            <w:tcBorders>
              <w:top w:val="single" w:color="auto" w:sz="4" w:space="0"/>
              <w:left w:val="nil"/>
              <w:bottom w:val="single" w:color="auto" w:sz="4" w:space="0"/>
              <w:right w:val="single" w:color="auto" w:sz="4" w:space="0"/>
            </w:tcBorders>
            <w:noWrap/>
            <w:vAlign w:val="center"/>
          </w:tcPr>
          <w:p w14:paraId="19A707EC">
            <w:pPr>
              <w:widowControl/>
              <w:jc w:val="center"/>
              <w:rPr>
                <w:rFonts w:ascii="仿宋" w:hAnsi="仿宋" w:eastAsia="仿宋" w:cs="仿宋_GB2312"/>
                <w:sz w:val="28"/>
                <w:szCs w:val="28"/>
              </w:rPr>
            </w:pPr>
            <w:r>
              <w:rPr>
                <w:rFonts w:hint="eastAsia" w:ascii="仿宋" w:hAnsi="仿宋" w:eastAsia="仿宋" w:cs="仿宋_GB2312"/>
                <w:sz w:val="28"/>
                <w:szCs w:val="28"/>
              </w:rPr>
              <w:t>县住建局</w:t>
            </w:r>
          </w:p>
        </w:tc>
        <w:tc>
          <w:tcPr>
            <w:tcW w:w="10931" w:type="dxa"/>
            <w:tcBorders>
              <w:top w:val="single" w:color="auto" w:sz="4" w:space="0"/>
              <w:left w:val="nil"/>
              <w:bottom w:val="single" w:color="auto" w:sz="4" w:space="0"/>
              <w:right w:val="single" w:color="auto" w:sz="4" w:space="0"/>
            </w:tcBorders>
            <w:noWrap/>
            <w:vAlign w:val="center"/>
          </w:tcPr>
          <w:p w14:paraId="2DD8F2F9">
            <w:pPr>
              <w:pStyle w:val="7"/>
              <w:spacing w:line="320" w:lineRule="exact"/>
              <w:ind w:firstLine="560"/>
              <w:rPr>
                <w:rFonts w:ascii="仿宋" w:hAnsi="仿宋" w:eastAsia="仿宋" w:cs="仿宋_GB2312"/>
                <w:sz w:val="28"/>
              </w:rPr>
            </w:pPr>
            <w:r>
              <w:rPr>
                <w:rFonts w:hint="eastAsia" w:ascii="仿宋" w:hAnsi="仿宋" w:eastAsia="仿宋" w:cs="仿宋_GB2312"/>
                <w:sz w:val="28"/>
              </w:rPr>
              <w:t>重点宣传普及城市房地产管理法、建筑法、物业管理条例、湖南省物业管理条例、建设工程质量管理条例、保障农民工工资支付条例、建设工程勘察设计管理条例、历史文化名城名镇名村保护条例、建设工程抗震管理条例、民用建筑节能条例、湖南省绿色建筑发展条例、城镇排水与污水处理条例、建设工程安全管理条例、湖南省农村住房建设管理办法、湖南省城镇污水管网建设运行管理若干规定、永州市摩崖石刻保护规定等法律法规规章。</w:t>
            </w:r>
          </w:p>
        </w:tc>
      </w:tr>
      <w:tr w14:paraId="3B18EE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8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52F14626">
            <w:pPr>
              <w:jc w:val="center"/>
              <w:rPr>
                <w:rFonts w:ascii="宋体" w:eastAsia="宋体" w:cs="Lucida Sans"/>
                <w:sz w:val="24"/>
              </w:rPr>
            </w:pPr>
            <w:r>
              <w:rPr>
                <w:rFonts w:hint="eastAsia" w:ascii="宋体" w:eastAsia="宋体" w:cs="Lucida Sans"/>
                <w:sz w:val="24"/>
              </w:rPr>
              <w:t>19</w:t>
            </w:r>
          </w:p>
        </w:tc>
        <w:tc>
          <w:tcPr>
            <w:tcW w:w="1749" w:type="dxa"/>
            <w:tcBorders>
              <w:top w:val="single" w:color="auto" w:sz="4" w:space="0"/>
              <w:left w:val="nil"/>
              <w:bottom w:val="single" w:color="auto" w:sz="4" w:space="0"/>
              <w:right w:val="single" w:color="auto" w:sz="4" w:space="0"/>
            </w:tcBorders>
            <w:noWrap/>
            <w:vAlign w:val="center"/>
          </w:tcPr>
          <w:p w14:paraId="19CC104D">
            <w:pPr>
              <w:widowControl/>
              <w:jc w:val="center"/>
              <w:rPr>
                <w:rFonts w:ascii="仿宋" w:hAnsi="仿宋" w:eastAsia="仿宋" w:cs="仿宋_GB2312"/>
                <w:sz w:val="28"/>
                <w:szCs w:val="28"/>
              </w:rPr>
            </w:pPr>
            <w:r>
              <w:rPr>
                <w:rFonts w:hint="eastAsia" w:ascii="仿宋" w:hAnsi="仿宋" w:eastAsia="仿宋" w:cs="仿宋_GB2312"/>
                <w:sz w:val="28"/>
                <w:szCs w:val="28"/>
              </w:rPr>
              <w:t>县水利局</w:t>
            </w:r>
          </w:p>
        </w:tc>
        <w:tc>
          <w:tcPr>
            <w:tcW w:w="10931" w:type="dxa"/>
            <w:tcBorders>
              <w:top w:val="single" w:color="auto" w:sz="4" w:space="0"/>
              <w:left w:val="nil"/>
              <w:bottom w:val="single" w:color="auto" w:sz="4" w:space="0"/>
              <w:right w:val="single" w:color="auto" w:sz="4" w:space="0"/>
            </w:tcBorders>
            <w:noWrap/>
            <w:vAlign w:val="center"/>
          </w:tcPr>
          <w:p w14:paraId="49283F90">
            <w:pPr>
              <w:pStyle w:val="7"/>
              <w:spacing w:line="280" w:lineRule="exact"/>
              <w:ind w:firstLine="560"/>
              <w:rPr>
                <w:rFonts w:ascii="仿宋" w:hAnsi="仿宋" w:eastAsia="仿宋" w:cs="仿宋_GB2312"/>
                <w:sz w:val="28"/>
              </w:rPr>
            </w:pPr>
            <w:r>
              <w:rPr>
                <w:rFonts w:hint="eastAsia" w:ascii="仿宋" w:hAnsi="仿宋" w:eastAsia="仿宋" w:cs="仿宋_GB2312"/>
                <w:sz w:val="28"/>
              </w:rPr>
              <w:t>重点宣传普及水法、防洪法、水土保持法、长江保护法、防汛条例、抗旱条例、河道管理条例、长江河道采砂管理条例、取水许可和水资源费征收管理条例、水库大坝安全管理条例、水土保持法实施条例、大中型水利水电工程建设征地补偿和移民安置条例、地下水管理条例、节约用水条例、湖南省湘江保护条例、湖南省洞庭湖区水利管理条例、湖南省水文条例湖南省大中型水库移民条例、湖南省河道采砂管理条例、湖南水利工程管理条例、湖南省实施《中华人民共和国水法》办法、湖南省实施《中华人民共和国防洪法》办法、湖南省实施《中华人民共和国保持法》办法、湖南省实施《中华人民共和国河道管理条例》办法等法律法规。</w:t>
            </w:r>
          </w:p>
        </w:tc>
      </w:tr>
      <w:tr w14:paraId="3E1CAB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5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52D28193">
            <w:pPr>
              <w:jc w:val="center"/>
              <w:rPr>
                <w:rFonts w:ascii="宋体" w:eastAsia="宋体" w:cs="Lucida Sans"/>
                <w:sz w:val="24"/>
              </w:rPr>
            </w:pPr>
            <w:r>
              <w:rPr>
                <w:rFonts w:hint="eastAsia" w:ascii="宋体" w:eastAsia="宋体" w:cs="Lucida Sans"/>
                <w:sz w:val="24"/>
              </w:rPr>
              <w:t>20</w:t>
            </w:r>
          </w:p>
        </w:tc>
        <w:tc>
          <w:tcPr>
            <w:tcW w:w="1749" w:type="dxa"/>
            <w:tcBorders>
              <w:top w:val="single" w:color="auto" w:sz="4" w:space="0"/>
              <w:left w:val="nil"/>
              <w:bottom w:val="single" w:color="auto" w:sz="4" w:space="0"/>
              <w:right w:val="single" w:color="auto" w:sz="4" w:space="0"/>
            </w:tcBorders>
            <w:noWrap/>
            <w:vAlign w:val="center"/>
          </w:tcPr>
          <w:p w14:paraId="33CF378B">
            <w:pPr>
              <w:widowControl/>
              <w:jc w:val="center"/>
              <w:rPr>
                <w:rFonts w:ascii="仿宋" w:hAnsi="仿宋" w:eastAsia="仿宋" w:cs="仿宋_GB2312"/>
                <w:sz w:val="28"/>
                <w:szCs w:val="28"/>
              </w:rPr>
            </w:pPr>
            <w:r>
              <w:rPr>
                <w:rFonts w:hint="eastAsia" w:ascii="仿宋" w:hAnsi="仿宋" w:eastAsia="仿宋" w:cs="仿宋_GB2312"/>
                <w:sz w:val="28"/>
                <w:szCs w:val="28"/>
              </w:rPr>
              <w:t>县农业</w:t>
            </w:r>
          </w:p>
          <w:p w14:paraId="2F4D8765">
            <w:pPr>
              <w:widowControl/>
              <w:jc w:val="center"/>
              <w:rPr>
                <w:rFonts w:ascii="仿宋" w:hAnsi="仿宋" w:eastAsia="仿宋" w:cs="仿宋_GB2312"/>
                <w:sz w:val="28"/>
                <w:szCs w:val="28"/>
              </w:rPr>
            </w:pPr>
            <w:r>
              <w:rPr>
                <w:rFonts w:hint="eastAsia" w:ascii="仿宋" w:hAnsi="仿宋" w:eastAsia="仿宋" w:cs="仿宋_GB2312"/>
                <w:sz w:val="28"/>
                <w:szCs w:val="28"/>
              </w:rPr>
              <w:t>农村局</w:t>
            </w:r>
          </w:p>
        </w:tc>
        <w:tc>
          <w:tcPr>
            <w:tcW w:w="10931" w:type="dxa"/>
            <w:tcBorders>
              <w:top w:val="single" w:color="auto" w:sz="4" w:space="0"/>
              <w:left w:val="nil"/>
              <w:bottom w:val="single" w:color="auto" w:sz="4" w:space="0"/>
              <w:right w:val="single" w:color="auto" w:sz="4" w:space="0"/>
            </w:tcBorders>
            <w:noWrap/>
            <w:vAlign w:val="center"/>
          </w:tcPr>
          <w:p w14:paraId="67AF5567">
            <w:pPr>
              <w:pStyle w:val="7"/>
              <w:spacing w:line="280" w:lineRule="exact"/>
              <w:ind w:firstLine="560"/>
              <w:rPr>
                <w:rFonts w:ascii="仿宋" w:hAnsi="仿宋" w:eastAsia="仿宋" w:cs="仿宋_GB2312"/>
                <w:sz w:val="28"/>
              </w:rPr>
            </w:pPr>
            <w:r>
              <w:rPr>
                <w:rFonts w:hint="eastAsia" w:ascii="仿宋" w:hAnsi="仿宋" w:eastAsia="仿宋" w:cs="仿宋_GB2312"/>
                <w:sz w:val="28"/>
              </w:rPr>
              <w:t>重点宣传普及农业法、渔业法、农村土地承包法、农村土地承包经营纠纷调解仲裁法、农民专业合作社法、农业技术推广法、土壤污染防治法、农产品质量安全法、种子法、长江保护法、野生动物保护法、畜牧法、动物防疫法、生物安全法、农业机械化促进法、乡村振兴促进法、粮食安全保障法、农业转基因生物安全管理条例、野生植物保护条例、植物新品种保护条例、湖南省农村可再生能源条例、基本农田保护条例、水产资源繁殖保护条例、水生野生动物保护实施条例、农药管理条例、植物检疫条例、湖南省渔业条例、湖南省基本农田保护条例、湖南省居民自建房安全管理若干规定、湖南省农村住房建设管理办法等法律法规规章。</w:t>
            </w:r>
          </w:p>
        </w:tc>
      </w:tr>
      <w:tr w14:paraId="4F49C03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01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BF76F51">
            <w:pPr>
              <w:jc w:val="center"/>
              <w:rPr>
                <w:rFonts w:ascii="宋体" w:eastAsia="宋体" w:cs="Lucida Sans"/>
                <w:sz w:val="24"/>
              </w:rPr>
            </w:pPr>
            <w:r>
              <w:rPr>
                <w:rFonts w:hint="eastAsia" w:ascii="宋体" w:eastAsia="宋体" w:cs="Lucida Sans"/>
                <w:sz w:val="24"/>
              </w:rPr>
              <w:t>21</w:t>
            </w:r>
          </w:p>
        </w:tc>
        <w:tc>
          <w:tcPr>
            <w:tcW w:w="1749" w:type="dxa"/>
            <w:tcBorders>
              <w:top w:val="single" w:color="auto" w:sz="4" w:space="0"/>
              <w:left w:val="nil"/>
              <w:bottom w:val="single" w:color="auto" w:sz="4" w:space="0"/>
              <w:right w:val="single" w:color="auto" w:sz="4" w:space="0"/>
            </w:tcBorders>
            <w:noWrap/>
            <w:vAlign w:val="center"/>
          </w:tcPr>
          <w:p w14:paraId="01D0882D">
            <w:pPr>
              <w:widowControl/>
              <w:jc w:val="center"/>
              <w:rPr>
                <w:rFonts w:ascii="仿宋" w:hAnsi="仿宋" w:eastAsia="仿宋" w:cs="仿宋_GB2312"/>
                <w:sz w:val="28"/>
                <w:szCs w:val="28"/>
              </w:rPr>
            </w:pPr>
            <w:r>
              <w:rPr>
                <w:rFonts w:hint="eastAsia" w:ascii="仿宋" w:hAnsi="仿宋" w:eastAsia="仿宋" w:cs="仿宋_GB2312"/>
                <w:sz w:val="28"/>
                <w:szCs w:val="28"/>
              </w:rPr>
              <w:t>县卫健局</w:t>
            </w:r>
          </w:p>
        </w:tc>
        <w:tc>
          <w:tcPr>
            <w:tcW w:w="10931" w:type="dxa"/>
            <w:tcBorders>
              <w:top w:val="single" w:color="auto" w:sz="4" w:space="0"/>
              <w:left w:val="nil"/>
              <w:bottom w:val="single" w:color="auto" w:sz="4" w:space="0"/>
              <w:right w:val="single" w:color="auto" w:sz="4" w:space="0"/>
            </w:tcBorders>
            <w:noWrap/>
            <w:vAlign w:val="center"/>
          </w:tcPr>
          <w:p w14:paraId="20E9730E">
            <w:pPr>
              <w:pStyle w:val="7"/>
              <w:spacing w:line="280" w:lineRule="exact"/>
              <w:ind w:firstLine="560"/>
              <w:rPr>
                <w:rFonts w:ascii="仿宋" w:hAnsi="仿宋" w:eastAsia="仿宋" w:cs="仿宋_GB2312"/>
                <w:sz w:val="28"/>
              </w:rPr>
            </w:pPr>
            <w:r>
              <w:rPr>
                <w:rFonts w:hint="eastAsia" w:ascii="仿宋" w:hAnsi="仿宋" w:eastAsia="仿宋" w:cs="仿宋_GB2312"/>
                <w:sz w:val="28"/>
              </w:rPr>
              <w:t>重点宣传普及基本医疗卫生与健康促进法、传染病防治法、精神卫生法、疫苗管理法、医师法、献血法、生物安全法、食品安全法、母婴保健法、职业病防治法、人口与计划生育法、中医药法、公共场所卫生管理条例、艾滋病防治条例、血吸虫病防治条例、医疗机构管理条例、医疗纠纷预防和处理条例、医疗事故处理条例、护士条例、医疗废物管理条例、乡村医生从业管理条例、突发公共卫生事件应急条例、病原微生物实验室生物安全管理条例、湖南省爱国卫生条例、湖南省血吸虫病防治条例、湖南省现场救护条例、湖南省人口与计划生育条例、湖南省实施《中华人民共和国献血法》办法、湖南省实施《中华人民共和国母婴保键法》办法、湖南省实施</w:t>
            </w:r>
            <w:r>
              <w:rPr>
                <w:rFonts w:hint="eastAsia" w:ascii="仿宋" w:hAnsi="仿宋" w:eastAsia="仿宋" w:cs="仿宋_GB2312"/>
                <w:spacing w:val="-6"/>
                <w:sz w:val="28"/>
              </w:rPr>
              <w:t>《中华人民共和国中医药法》办法湖南省出生缺陷防治办法、湖南省现场救护条例、湖南省职业病防治若干规定等法律法规规章。</w:t>
            </w:r>
          </w:p>
        </w:tc>
      </w:tr>
      <w:tr w14:paraId="263034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3"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3BF377F1">
            <w:pPr>
              <w:jc w:val="center"/>
              <w:rPr>
                <w:rFonts w:ascii="宋体" w:eastAsia="宋体" w:cs="Lucida Sans"/>
                <w:sz w:val="24"/>
              </w:rPr>
            </w:pPr>
            <w:r>
              <w:rPr>
                <w:rFonts w:hint="eastAsia" w:ascii="宋体" w:eastAsia="宋体" w:cs="Lucida Sans"/>
                <w:sz w:val="24"/>
              </w:rPr>
              <w:t>22</w:t>
            </w:r>
          </w:p>
        </w:tc>
        <w:tc>
          <w:tcPr>
            <w:tcW w:w="1749" w:type="dxa"/>
            <w:tcBorders>
              <w:top w:val="single" w:color="auto" w:sz="4" w:space="0"/>
              <w:left w:val="nil"/>
              <w:bottom w:val="single" w:color="auto" w:sz="4" w:space="0"/>
              <w:right w:val="single" w:color="auto" w:sz="4" w:space="0"/>
            </w:tcBorders>
            <w:noWrap/>
            <w:vAlign w:val="center"/>
          </w:tcPr>
          <w:p w14:paraId="1488CD81">
            <w:pPr>
              <w:widowControl/>
              <w:jc w:val="center"/>
              <w:rPr>
                <w:rFonts w:ascii="仿宋" w:hAnsi="仿宋" w:eastAsia="仿宋" w:cs="仿宋_GB2312"/>
                <w:sz w:val="28"/>
                <w:szCs w:val="28"/>
              </w:rPr>
            </w:pPr>
            <w:r>
              <w:rPr>
                <w:rFonts w:hint="eastAsia" w:ascii="仿宋" w:hAnsi="仿宋" w:eastAsia="仿宋" w:cs="仿宋_GB2312"/>
                <w:sz w:val="28"/>
                <w:szCs w:val="28"/>
              </w:rPr>
              <w:t>县审计局</w:t>
            </w:r>
          </w:p>
        </w:tc>
        <w:tc>
          <w:tcPr>
            <w:tcW w:w="10931" w:type="dxa"/>
            <w:tcBorders>
              <w:top w:val="single" w:color="auto" w:sz="4" w:space="0"/>
              <w:left w:val="nil"/>
              <w:bottom w:val="single" w:color="auto" w:sz="4" w:space="0"/>
              <w:right w:val="single" w:color="auto" w:sz="4" w:space="0"/>
            </w:tcBorders>
            <w:noWrap/>
            <w:vAlign w:val="center"/>
          </w:tcPr>
          <w:p w14:paraId="6F5A54A7">
            <w:pPr>
              <w:spacing w:line="280" w:lineRule="exact"/>
              <w:ind w:firstLine="560" w:firstLineChars="200"/>
              <w:rPr>
                <w:rFonts w:ascii="仿宋" w:hAnsi="仿宋" w:eastAsia="仿宋" w:cs="仿宋_GB2312"/>
                <w:sz w:val="28"/>
                <w:szCs w:val="28"/>
              </w:rPr>
            </w:pPr>
            <w:r>
              <w:rPr>
                <w:rFonts w:hint="eastAsia" w:ascii="仿宋" w:hAnsi="仿宋" w:eastAsia="仿宋" w:cs="仿宋_GB2312"/>
                <w:bCs/>
                <w:sz w:val="28"/>
                <w:szCs w:val="28"/>
              </w:rPr>
              <w:t>重点宣传普及审计法及其实施条例、预算法及其实施条例、财政违法行为处罚处分条例、湖南省内部审计办法等法律法规。</w:t>
            </w:r>
          </w:p>
        </w:tc>
      </w:tr>
      <w:tr w14:paraId="50ECB1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noWrap/>
            <w:vAlign w:val="center"/>
          </w:tcPr>
          <w:p w14:paraId="5B180502">
            <w:pPr>
              <w:jc w:val="center"/>
              <w:rPr>
                <w:rFonts w:ascii="宋体" w:eastAsia="宋体" w:cs="Lucida Sans"/>
                <w:sz w:val="24"/>
              </w:rPr>
            </w:pPr>
            <w:r>
              <w:rPr>
                <w:rFonts w:hint="eastAsia" w:ascii="宋体" w:eastAsia="宋体" w:cs="Lucida Sans"/>
                <w:sz w:val="24"/>
              </w:rPr>
              <w:t>23</w:t>
            </w:r>
          </w:p>
        </w:tc>
        <w:tc>
          <w:tcPr>
            <w:tcW w:w="1749" w:type="dxa"/>
            <w:tcBorders>
              <w:top w:val="single" w:color="auto" w:sz="4" w:space="0"/>
              <w:left w:val="nil"/>
              <w:bottom w:val="single" w:color="auto" w:sz="4" w:space="0"/>
              <w:right w:val="single" w:color="auto" w:sz="4" w:space="0"/>
            </w:tcBorders>
            <w:noWrap/>
            <w:vAlign w:val="center"/>
          </w:tcPr>
          <w:p w14:paraId="4C785453">
            <w:pPr>
              <w:widowControl/>
              <w:jc w:val="center"/>
              <w:rPr>
                <w:rFonts w:ascii="仿宋" w:hAnsi="仿宋" w:eastAsia="仿宋" w:cs="仿宋_GB2312"/>
                <w:sz w:val="28"/>
                <w:szCs w:val="28"/>
              </w:rPr>
            </w:pPr>
            <w:r>
              <w:rPr>
                <w:rFonts w:hint="eastAsia" w:ascii="仿宋" w:hAnsi="仿宋" w:eastAsia="仿宋" w:cs="仿宋_GB2312"/>
                <w:sz w:val="28"/>
                <w:szCs w:val="28"/>
              </w:rPr>
              <w:t>县文旅</w:t>
            </w:r>
          </w:p>
          <w:p w14:paraId="0F0AC36B">
            <w:pPr>
              <w:widowControl/>
              <w:jc w:val="center"/>
              <w:rPr>
                <w:rFonts w:ascii="仿宋" w:hAnsi="仿宋" w:eastAsia="仿宋" w:cs="仿宋_GB2312"/>
                <w:sz w:val="28"/>
                <w:szCs w:val="28"/>
              </w:rPr>
            </w:pPr>
            <w:r>
              <w:rPr>
                <w:rFonts w:hint="eastAsia" w:ascii="仿宋" w:hAnsi="仿宋" w:eastAsia="仿宋" w:cs="仿宋_GB2312"/>
                <w:sz w:val="28"/>
                <w:szCs w:val="28"/>
              </w:rPr>
              <w:t>广体局</w:t>
            </w:r>
          </w:p>
        </w:tc>
        <w:tc>
          <w:tcPr>
            <w:tcW w:w="10931" w:type="dxa"/>
            <w:tcBorders>
              <w:top w:val="single" w:color="auto" w:sz="4" w:space="0"/>
              <w:left w:val="nil"/>
              <w:bottom w:val="single" w:color="auto" w:sz="4" w:space="0"/>
              <w:right w:val="single" w:color="auto" w:sz="4" w:space="0"/>
            </w:tcBorders>
            <w:noWrap/>
            <w:vAlign w:val="center"/>
          </w:tcPr>
          <w:p w14:paraId="6EAA0FD6">
            <w:pPr>
              <w:pStyle w:val="7"/>
              <w:spacing w:line="320" w:lineRule="exact"/>
              <w:ind w:firstLine="560"/>
              <w:rPr>
                <w:rFonts w:ascii="仿宋" w:hAnsi="仿宋" w:eastAsia="仿宋" w:cs="仿宋_GB2312"/>
                <w:sz w:val="28"/>
              </w:rPr>
            </w:pPr>
            <w:r>
              <w:rPr>
                <w:rFonts w:hint="eastAsia" w:ascii="仿宋" w:hAnsi="仿宋" w:eastAsia="仿宋" w:cs="仿宋_GB2312"/>
                <w:sz w:val="28"/>
              </w:rPr>
              <w:t>重点宣传普及文物保护法、公共图书馆法、公共文化服务保障法、非物质遗产法、旅游法、营业性演出管理条例、娱乐场所管理条例、互联网上网服务营业场所管理条例、旅行社条例、导游人员管理条例、湖南省红色资源保护和利用条例、永州市摩崖石刻保护规定、广播电视管理条例、广播电视设施保护条例、广播电视无线传输覆盖网管理办法、广播电视电频点播业务管理办法、广播电视节目传送业务管理办法、广播电视设备器材入网认定管理办法、反兴奋剂条例、全民健身条例、湖南省体育后备人才培养条例以及体育领域新修改新颁布的法律法规。</w:t>
            </w:r>
          </w:p>
        </w:tc>
      </w:tr>
      <w:tr w14:paraId="26EF724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2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35FC37EB">
            <w:pPr>
              <w:jc w:val="center"/>
              <w:rPr>
                <w:rFonts w:ascii="宋体" w:eastAsia="宋体" w:cs="Lucida Sans"/>
                <w:sz w:val="24"/>
              </w:rPr>
            </w:pPr>
            <w:r>
              <w:rPr>
                <w:rFonts w:hint="eastAsia" w:ascii="宋体" w:eastAsia="宋体" w:cs="Lucida Sans"/>
                <w:sz w:val="24"/>
              </w:rPr>
              <w:t>24</w:t>
            </w:r>
          </w:p>
        </w:tc>
        <w:tc>
          <w:tcPr>
            <w:tcW w:w="1749" w:type="dxa"/>
            <w:tcBorders>
              <w:top w:val="single" w:color="auto" w:sz="4" w:space="0"/>
              <w:left w:val="nil"/>
              <w:bottom w:val="single" w:color="auto" w:sz="4" w:space="0"/>
              <w:right w:val="single" w:color="auto" w:sz="4" w:space="0"/>
            </w:tcBorders>
            <w:noWrap/>
            <w:vAlign w:val="center"/>
          </w:tcPr>
          <w:p w14:paraId="2BB812EC">
            <w:pPr>
              <w:widowControl/>
              <w:jc w:val="center"/>
              <w:rPr>
                <w:rFonts w:ascii="仿宋" w:hAnsi="仿宋" w:eastAsia="仿宋" w:cs="仿宋_GB2312"/>
                <w:sz w:val="28"/>
                <w:szCs w:val="28"/>
              </w:rPr>
            </w:pPr>
            <w:r>
              <w:rPr>
                <w:rFonts w:hint="eastAsia" w:ascii="仿宋" w:hAnsi="仿宋" w:eastAsia="仿宋" w:cs="仿宋_GB2312"/>
                <w:sz w:val="28"/>
                <w:szCs w:val="28"/>
              </w:rPr>
              <w:t>县退役军人事务局</w:t>
            </w:r>
          </w:p>
        </w:tc>
        <w:tc>
          <w:tcPr>
            <w:tcW w:w="10931" w:type="dxa"/>
            <w:tcBorders>
              <w:top w:val="single" w:color="auto" w:sz="4" w:space="0"/>
              <w:left w:val="nil"/>
              <w:bottom w:val="single" w:color="auto" w:sz="4" w:space="0"/>
              <w:right w:val="single" w:color="auto" w:sz="4" w:space="0"/>
            </w:tcBorders>
            <w:noWrap/>
            <w:vAlign w:val="center"/>
          </w:tcPr>
          <w:p w14:paraId="682D87E3">
            <w:pPr>
              <w:pStyle w:val="7"/>
              <w:spacing w:line="280" w:lineRule="exact"/>
              <w:ind w:firstLine="560"/>
              <w:rPr>
                <w:rFonts w:ascii="仿宋" w:hAnsi="仿宋" w:eastAsia="仿宋" w:cs="仿宋_GB2312"/>
                <w:sz w:val="28"/>
              </w:rPr>
            </w:pPr>
            <w:r>
              <w:rPr>
                <w:rFonts w:hint="eastAsia" w:ascii="仿宋" w:hAnsi="仿宋" w:eastAsia="仿宋" w:cs="仿宋_GB2312"/>
                <w:sz w:val="28"/>
              </w:rPr>
              <w:t>重点宣传普及兵役法、退役军人保障法、退役军人保障法、英雄烈士保护法、军人地位和权益保障法、军人抚恤优待条例、退役士兵安置条例、烈士褒扬条例等法律法规。</w:t>
            </w:r>
          </w:p>
        </w:tc>
      </w:tr>
      <w:tr w14:paraId="35B791C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1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E045399">
            <w:pPr>
              <w:jc w:val="center"/>
              <w:rPr>
                <w:rFonts w:ascii="宋体" w:eastAsia="宋体" w:cs="Lucida Sans"/>
                <w:sz w:val="24"/>
              </w:rPr>
            </w:pPr>
            <w:r>
              <w:rPr>
                <w:rFonts w:hint="eastAsia" w:ascii="宋体" w:eastAsia="宋体" w:cs="Lucida Sans"/>
                <w:sz w:val="24"/>
              </w:rPr>
              <w:t>25</w:t>
            </w:r>
          </w:p>
        </w:tc>
        <w:tc>
          <w:tcPr>
            <w:tcW w:w="1749" w:type="dxa"/>
            <w:tcBorders>
              <w:top w:val="single" w:color="auto" w:sz="4" w:space="0"/>
              <w:left w:val="nil"/>
              <w:bottom w:val="single" w:color="auto" w:sz="4" w:space="0"/>
              <w:right w:val="single" w:color="auto" w:sz="4" w:space="0"/>
            </w:tcBorders>
            <w:noWrap/>
            <w:vAlign w:val="center"/>
          </w:tcPr>
          <w:p w14:paraId="7B7D425F">
            <w:pPr>
              <w:widowControl/>
              <w:jc w:val="center"/>
              <w:rPr>
                <w:rFonts w:ascii="仿宋" w:hAnsi="仿宋" w:eastAsia="仿宋" w:cs="仿宋_GB2312"/>
                <w:sz w:val="28"/>
                <w:szCs w:val="28"/>
              </w:rPr>
            </w:pPr>
            <w:r>
              <w:rPr>
                <w:rFonts w:hint="eastAsia" w:ascii="仿宋" w:hAnsi="仿宋" w:eastAsia="仿宋" w:cs="仿宋_GB2312"/>
                <w:sz w:val="28"/>
                <w:szCs w:val="28"/>
              </w:rPr>
              <w:t>县应急</w:t>
            </w:r>
          </w:p>
          <w:p w14:paraId="5AE1CA10">
            <w:pPr>
              <w:widowControl/>
              <w:jc w:val="center"/>
              <w:rPr>
                <w:rFonts w:ascii="仿宋" w:hAnsi="仿宋" w:eastAsia="仿宋" w:cs="仿宋_GB2312"/>
                <w:sz w:val="28"/>
                <w:szCs w:val="28"/>
              </w:rPr>
            </w:pPr>
            <w:r>
              <w:rPr>
                <w:rFonts w:hint="eastAsia" w:ascii="仿宋" w:hAnsi="仿宋" w:eastAsia="仿宋" w:cs="仿宋_GB2312"/>
                <w:sz w:val="28"/>
                <w:szCs w:val="28"/>
              </w:rPr>
              <w:t>管理局</w:t>
            </w:r>
          </w:p>
        </w:tc>
        <w:tc>
          <w:tcPr>
            <w:tcW w:w="10931" w:type="dxa"/>
            <w:tcBorders>
              <w:top w:val="single" w:color="auto" w:sz="4" w:space="0"/>
              <w:left w:val="nil"/>
              <w:bottom w:val="single" w:color="auto" w:sz="4" w:space="0"/>
              <w:right w:val="single" w:color="auto" w:sz="4" w:space="0"/>
            </w:tcBorders>
            <w:noWrap/>
            <w:vAlign w:val="center"/>
          </w:tcPr>
          <w:p w14:paraId="368CADFD">
            <w:pPr>
              <w:pStyle w:val="7"/>
              <w:spacing w:line="280" w:lineRule="exact"/>
              <w:ind w:firstLine="560"/>
              <w:rPr>
                <w:rFonts w:ascii="仿宋" w:hAnsi="仿宋" w:eastAsia="仿宋" w:cs="仿宋_GB2312"/>
                <w:sz w:val="28"/>
              </w:rPr>
            </w:pPr>
            <w:r>
              <w:rPr>
                <w:rFonts w:hint="eastAsia" w:ascii="仿宋" w:hAnsi="仿宋" w:eastAsia="仿宋" w:cs="仿宋_GB2312"/>
                <w:sz w:val="28"/>
              </w:rPr>
              <w:t>重点宣传普及突发事件应对法、安全生产法、防洪法、防震减灾法、煤炭法、矿山安全法、消防法、生产安全事故应急条例、自然灾害救助条例、森林防火条例、抗旱条例、防汛条例、地质灾害防治条例、危险化学品安全管理条例、烟花爆竹安全管理条例、生产安全事故报告和调查处理条例、湖南省安全生产条例、煤矿安全生产条例、安全生产严重失信主体名单管理办法等法律法规。</w:t>
            </w:r>
          </w:p>
        </w:tc>
      </w:tr>
      <w:tr w14:paraId="3684AE7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8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74F9EBB">
            <w:pPr>
              <w:jc w:val="center"/>
              <w:rPr>
                <w:rFonts w:ascii="宋体" w:eastAsia="宋体" w:cs="Lucida Sans"/>
                <w:sz w:val="24"/>
              </w:rPr>
            </w:pPr>
            <w:r>
              <w:rPr>
                <w:rFonts w:hint="eastAsia" w:ascii="宋体" w:eastAsia="宋体" w:cs="Lucida Sans"/>
                <w:sz w:val="24"/>
              </w:rPr>
              <w:t>26</w:t>
            </w:r>
          </w:p>
        </w:tc>
        <w:tc>
          <w:tcPr>
            <w:tcW w:w="1749" w:type="dxa"/>
            <w:tcBorders>
              <w:top w:val="single" w:color="auto" w:sz="4" w:space="0"/>
              <w:left w:val="nil"/>
              <w:bottom w:val="single" w:color="auto" w:sz="4" w:space="0"/>
              <w:right w:val="single" w:color="auto" w:sz="4" w:space="0"/>
            </w:tcBorders>
            <w:noWrap/>
            <w:vAlign w:val="center"/>
          </w:tcPr>
          <w:p w14:paraId="758BC6ED">
            <w:pPr>
              <w:widowControl/>
              <w:jc w:val="center"/>
              <w:rPr>
                <w:rFonts w:ascii="仿宋" w:hAnsi="仿宋" w:eastAsia="仿宋" w:cs="仿宋_GB2312"/>
                <w:sz w:val="28"/>
                <w:szCs w:val="28"/>
              </w:rPr>
            </w:pPr>
            <w:r>
              <w:rPr>
                <w:rFonts w:hint="eastAsia" w:ascii="仿宋" w:hAnsi="仿宋" w:eastAsia="仿宋" w:cs="仿宋_GB2312"/>
                <w:sz w:val="28"/>
                <w:szCs w:val="28"/>
              </w:rPr>
              <w:t>县市场监督管理局</w:t>
            </w:r>
          </w:p>
        </w:tc>
        <w:tc>
          <w:tcPr>
            <w:tcW w:w="10931" w:type="dxa"/>
            <w:tcBorders>
              <w:top w:val="single" w:color="auto" w:sz="4" w:space="0"/>
              <w:left w:val="nil"/>
              <w:bottom w:val="single" w:color="auto" w:sz="4" w:space="0"/>
              <w:right w:val="single" w:color="auto" w:sz="4" w:space="0"/>
            </w:tcBorders>
            <w:noWrap/>
            <w:vAlign w:val="center"/>
          </w:tcPr>
          <w:p w14:paraId="446ECF6F">
            <w:pPr>
              <w:pStyle w:val="4"/>
              <w:spacing w:line="280" w:lineRule="exact"/>
              <w:ind w:firstLine="640"/>
              <w:rPr>
                <w:rFonts w:ascii="仿宋" w:hAnsi="仿宋" w:eastAsia="仿宋" w:cs="仿宋_GB2312"/>
                <w:bCs/>
                <w:sz w:val="28"/>
                <w:szCs w:val="28"/>
              </w:rPr>
            </w:pPr>
            <w:r>
              <w:rPr>
                <w:rFonts w:hint="eastAsia" w:ascii="仿宋" w:hAnsi="仿宋" w:eastAsia="仿宋" w:cs="仿宋_GB2312"/>
                <w:bCs/>
                <w:sz w:val="28"/>
                <w:szCs w:val="28"/>
              </w:rPr>
              <w:t>重点宣传普及公司法、合伙企业法、个人独资企业法、农民专业合作社法、外商投资法、价格法、专利法、商标法、反不正当竞争法、反垄断法、产品质量法、计量法、标准化法、电子商务法、广告法、药品管理法、食品安全法、特种设备安全法、市场主体登记管理条例及其实施细则、外商投资法实施条例、外国企业常驻代表机构登记管理条例、促进个体工商户发展条例、认证认可条例、直销管理条例、禁止传销条例、食品安全法实施条例、湖南省知识产权保护和促进条例、湖南省行政事业性收费管理条例、湖南省价格监督管理条例、工业产品生产许可证管理条例、棉花质量监督管理条例、广告管理条例、药品管理法实施条例、医疗器械监督管理条例、湖南省食品加工小作坊小餐饮和食品摊贩管理条例、湖南省实施《中华人民共和国广告法》办法、外国（地区）企业在中国境内从事生产经营活动登记管理办法及其他打击侵权假冒等市场监督管理方面的法律法规。</w:t>
            </w:r>
          </w:p>
        </w:tc>
      </w:tr>
      <w:tr w14:paraId="6022AF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0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0A6AC788">
            <w:pPr>
              <w:jc w:val="center"/>
              <w:rPr>
                <w:rFonts w:ascii="宋体" w:eastAsia="宋体" w:cs="Lucida Sans"/>
                <w:sz w:val="24"/>
              </w:rPr>
            </w:pPr>
            <w:r>
              <w:rPr>
                <w:rFonts w:hint="eastAsia" w:ascii="宋体" w:eastAsia="宋体" w:cs="Lucida Sans"/>
                <w:sz w:val="24"/>
              </w:rPr>
              <w:t>27</w:t>
            </w:r>
          </w:p>
        </w:tc>
        <w:tc>
          <w:tcPr>
            <w:tcW w:w="1749" w:type="dxa"/>
            <w:tcBorders>
              <w:top w:val="single" w:color="auto" w:sz="4" w:space="0"/>
              <w:left w:val="nil"/>
              <w:bottom w:val="single" w:color="auto" w:sz="4" w:space="0"/>
              <w:right w:val="single" w:color="auto" w:sz="4" w:space="0"/>
            </w:tcBorders>
            <w:noWrap/>
            <w:vAlign w:val="center"/>
          </w:tcPr>
          <w:p w14:paraId="4602AA9A">
            <w:pPr>
              <w:widowControl/>
              <w:jc w:val="center"/>
              <w:rPr>
                <w:rFonts w:ascii="仿宋" w:hAnsi="仿宋" w:eastAsia="仿宋" w:cs="仿宋_GB2312"/>
                <w:sz w:val="28"/>
                <w:szCs w:val="28"/>
              </w:rPr>
            </w:pPr>
            <w:r>
              <w:rPr>
                <w:rFonts w:hint="eastAsia" w:ascii="仿宋" w:hAnsi="仿宋" w:eastAsia="仿宋" w:cs="仿宋_GB2312"/>
                <w:sz w:val="28"/>
                <w:szCs w:val="28"/>
              </w:rPr>
              <w:t>县统计局</w:t>
            </w:r>
          </w:p>
        </w:tc>
        <w:tc>
          <w:tcPr>
            <w:tcW w:w="10931" w:type="dxa"/>
            <w:tcBorders>
              <w:top w:val="single" w:color="auto" w:sz="4" w:space="0"/>
              <w:left w:val="nil"/>
              <w:bottom w:val="single" w:color="auto" w:sz="4" w:space="0"/>
              <w:right w:val="single" w:color="auto" w:sz="4" w:space="0"/>
            </w:tcBorders>
            <w:noWrap/>
            <w:vAlign w:val="center"/>
          </w:tcPr>
          <w:p w14:paraId="6FA27030">
            <w:pPr>
              <w:pStyle w:val="4"/>
              <w:spacing w:line="3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重点宣传普及统计法、统计法实施条例、全国经济普查条例、全国农业普查条例、全国人口普查条例、湖南省统计管理条例等法律法规。</w:t>
            </w:r>
          </w:p>
        </w:tc>
      </w:tr>
      <w:tr w14:paraId="0904FFE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noWrap/>
            <w:vAlign w:val="center"/>
          </w:tcPr>
          <w:p w14:paraId="3E74E6DC">
            <w:pPr>
              <w:jc w:val="center"/>
              <w:rPr>
                <w:rFonts w:ascii="宋体" w:eastAsia="宋体" w:cs="Lucida Sans"/>
                <w:sz w:val="24"/>
              </w:rPr>
            </w:pPr>
            <w:r>
              <w:rPr>
                <w:rFonts w:hint="eastAsia" w:ascii="宋体" w:eastAsia="宋体" w:cs="Lucida Sans"/>
                <w:sz w:val="24"/>
              </w:rPr>
              <w:t>28</w:t>
            </w:r>
          </w:p>
        </w:tc>
        <w:tc>
          <w:tcPr>
            <w:tcW w:w="1749" w:type="dxa"/>
            <w:tcBorders>
              <w:top w:val="single" w:color="auto" w:sz="4" w:space="0"/>
              <w:left w:val="nil"/>
              <w:bottom w:val="single" w:color="auto" w:sz="4" w:space="0"/>
              <w:right w:val="single" w:color="auto" w:sz="4" w:space="0"/>
            </w:tcBorders>
            <w:noWrap/>
            <w:vAlign w:val="center"/>
          </w:tcPr>
          <w:p w14:paraId="030D08A0">
            <w:pPr>
              <w:widowControl/>
              <w:jc w:val="center"/>
              <w:rPr>
                <w:rFonts w:ascii="仿宋" w:hAnsi="仿宋" w:eastAsia="仿宋" w:cs="仿宋_GB2312"/>
                <w:sz w:val="28"/>
                <w:szCs w:val="28"/>
              </w:rPr>
            </w:pPr>
            <w:r>
              <w:rPr>
                <w:rFonts w:hint="eastAsia" w:ascii="仿宋" w:hAnsi="仿宋" w:eastAsia="仿宋" w:cs="仿宋_GB2312"/>
                <w:sz w:val="28"/>
                <w:szCs w:val="28"/>
              </w:rPr>
              <w:t>县林业局</w:t>
            </w:r>
          </w:p>
        </w:tc>
        <w:tc>
          <w:tcPr>
            <w:tcW w:w="10931" w:type="dxa"/>
            <w:tcBorders>
              <w:top w:val="single" w:color="auto" w:sz="4" w:space="0"/>
              <w:left w:val="nil"/>
              <w:bottom w:val="single" w:color="auto" w:sz="4" w:space="0"/>
              <w:right w:val="single" w:color="auto" w:sz="4" w:space="0"/>
            </w:tcBorders>
            <w:noWrap/>
            <w:vAlign w:val="center"/>
          </w:tcPr>
          <w:p w14:paraId="4AF53431">
            <w:pPr>
              <w:pStyle w:val="7"/>
              <w:spacing w:line="280" w:lineRule="exact"/>
              <w:ind w:firstLine="560"/>
              <w:rPr>
                <w:rFonts w:ascii="仿宋" w:hAnsi="仿宋" w:eastAsia="仿宋" w:cs="仿宋_GB2312"/>
                <w:sz w:val="28"/>
              </w:rPr>
            </w:pPr>
            <w:r>
              <w:rPr>
                <w:rFonts w:hint="eastAsia" w:ascii="仿宋" w:hAnsi="仿宋" w:eastAsia="仿宋" w:cs="仿宋_GB2312"/>
                <w:sz w:val="28"/>
              </w:rPr>
              <w:t>重点宣传普及森林法、野生动物保护法、种子法、防沙治沙法、草原法、湿地保护法、农业技术推广法、动物防疫法、农村土地承包法、自然保护区条例、野生植物保护条例、森林病虫害防治条例、植物新品种保护条例、森林防火条例、植物检疫条例、退耕还林条例、陆生野生动物保护实施条例、风景名胜区条例、湖南省林业条例、湖南省野生动植物资源保护条例、湖南省森林公园管理条例、湖南省湿地保护条例、湖南省林产品质量安全条例、湖南省林业有害生物防治检疫条例、湖南省植物园条例、森林法实施条例、湖南省武陵源世界自然遗产保护条例、湖南省森林防火若干规定、湖南省古树名木保护办法、湖南省陆生野生动物致害补偿办法、湖南省促进油茶产业发展若干规定等法律法规。</w:t>
            </w:r>
          </w:p>
        </w:tc>
      </w:tr>
      <w:tr w14:paraId="214C6EB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noWrap/>
            <w:vAlign w:val="center"/>
          </w:tcPr>
          <w:p w14:paraId="236321F2">
            <w:pPr>
              <w:jc w:val="center"/>
              <w:rPr>
                <w:rFonts w:ascii="宋体" w:eastAsia="宋体" w:cs="Lucida Sans"/>
                <w:sz w:val="24"/>
              </w:rPr>
            </w:pPr>
            <w:r>
              <w:rPr>
                <w:rFonts w:hint="eastAsia" w:ascii="宋体" w:eastAsia="宋体" w:cs="Lucida Sans"/>
                <w:sz w:val="24"/>
              </w:rPr>
              <w:t>29</w:t>
            </w:r>
          </w:p>
        </w:tc>
        <w:tc>
          <w:tcPr>
            <w:tcW w:w="1749" w:type="dxa"/>
            <w:tcBorders>
              <w:top w:val="single" w:color="auto" w:sz="4" w:space="0"/>
              <w:left w:val="nil"/>
              <w:bottom w:val="single" w:color="auto" w:sz="4" w:space="0"/>
              <w:right w:val="single" w:color="auto" w:sz="4" w:space="0"/>
            </w:tcBorders>
            <w:noWrap/>
            <w:vAlign w:val="center"/>
          </w:tcPr>
          <w:p w14:paraId="73F982D5">
            <w:pPr>
              <w:widowControl/>
              <w:jc w:val="center"/>
              <w:rPr>
                <w:rFonts w:ascii="仿宋" w:hAnsi="仿宋" w:eastAsia="仿宋" w:cs="仿宋_GB2312"/>
                <w:sz w:val="28"/>
                <w:szCs w:val="28"/>
              </w:rPr>
            </w:pPr>
            <w:r>
              <w:rPr>
                <w:rFonts w:hint="eastAsia" w:ascii="仿宋" w:hAnsi="仿宋" w:eastAsia="仿宋" w:cs="仿宋_GB2312"/>
                <w:sz w:val="28"/>
                <w:szCs w:val="28"/>
              </w:rPr>
              <w:t>县医保局</w:t>
            </w:r>
          </w:p>
        </w:tc>
        <w:tc>
          <w:tcPr>
            <w:tcW w:w="10931" w:type="dxa"/>
            <w:tcBorders>
              <w:top w:val="single" w:color="auto" w:sz="4" w:space="0"/>
              <w:left w:val="nil"/>
              <w:bottom w:val="single" w:color="auto" w:sz="4" w:space="0"/>
              <w:right w:val="single" w:color="auto" w:sz="4" w:space="0"/>
            </w:tcBorders>
            <w:noWrap/>
            <w:vAlign w:val="center"/>
          </w:tcPr>
          <w:p w14:paraId="767AA7B7">
            <w:pPr>
              <w:pStyle w:val="7"/>
              <w:spacing w:line="340" w:lineRule="exact"/>
              <w:ind w:firstLine="560"/>
              <w:rPr>
                <w:rFonts w:ascii="仿宋" w:hAnsi="仿宋" w:eastAsia="仿宋" w:cs="仿宋_GB2312"/>
                <w:sz w:val="28"/>
              </w:rPr>
            </w:pPr>
            <w:r>
              <w:rPr>
                <w:rFonts w:hint="eastAsia" w:ascii="仿宋" w:hAnsi="仿宋" w:eastAsia="仿宋" w:cs="仿宋_GB2312"/>
                <w:sz w:val="28"/>
              </w:rPr>
              <w:t>重点宣传普及基本医疗卫生与健康促进法、社会保险法、价格法、政府采购法、招标投标法、药品管理法及其实施条例、医疗保障基金使用监督管理条例以及医疗保险、生育保险、医疗救助筹资和管理等方面的法律法规。</w:t>
            </w:r>
          </w:p>
        </w:tc>
      </w:tr>
      <w:tr w14:paraId="2E8ACC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0D897CCB">
            <w:pPr>
              <w:jc w:val="center"/>
              <w:rPr>
                <w:rFonts w:ascii="宋体" w:eastAsia="宋体" w:cs="Lucida Sans"/>
                <w:sz w:val="24"/>
              </w:rPr>
            </w:pPr>
            <w:r>
              <w:rPr>
                <w:rFonts w:hint="eastAsia" w:ascii="宋体" w:eastAsia="宋体" w:cs="Lucida Sans"/>
                <w:sz w:val="24"/>
              </w:rPr>
              <w:t>30</w:t>
            </w:r>
          </w:p>
        </w:tc>
        <w:tc>
          <w:tcPr>
            <w:tcW w:w="1749" w:type="dxa"/>
            <w:tcBorders>
              <w:top w:val="single" w:color="auto" w:sz="4" w:space="0"/>
              <w:left w:val="nil"/>
              <w:bottom w:val="single" w:color="auto" w:sz="4" w:space="0"/>
              <w:right w:val="single" w:color="auto" w:sz="4" w:space="0"/>
            </w:tcBorders>
            <w:noWrap/>
            <w:vAlign w:val="center"/>
          </w:tcPr>
          <w:p w14:paraId="27049353">
            <w:pPr>
              <w:widowControl/>
              <w:jc w:val="center"/>
              <w:rPr>
                <w:rFonts w:ascii="仿宋" w:hAnsi="仿宋" w:eastAsia="仿宋" w:cs="仿宋_GB2312"/>
                <w:sz w:val="28"/>
                <w:szCs w:val="28"/>
              </w:rPr>
            </w:pPr>
            <w:r>
              <w:rPr>
                <w:rFonts w:hint="eastAsia" w:ascii="仿宋" w:hAnsi="仿宋" w:eastAsia="仿宋" w:cs="仿宋_GB2312"/>
                <w:sz w:val="28"/>
                <w:szCs w:val="28"/>
              </w:rPr>
              <w:t>县城管局</w:t>
            </w:r>
          </w:p>
        </w:tc>
        <w:tc>
          <w:tcPr>
            <w:tcW w:w="10931" w:type="dxa"/>
            <w:tcBorders>
              <w:top w:val="single" w:color="auto" w:sz="4" w:space="0"/>
              <w:left w:val="nil"/>
              <w:bottom w:val="single" w:color="auto" w:sz="4" w:space="0"/>
              <w:right w:val="single" w:color="auto" w:sz="4" w:space="0"/>
            </w:tcBorders>
            <w:noWrap/>
            <w:vAlign w:val="center"/>
          </w:tcPr>
          <w:p w14:paraId="32B08FBE">
            <w:pPr>
              <w:autoSpaceDN w:val="0"/>
              <w:spacing w:line="360" w:lineRule="exact"/>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重点宣传普及《中华人民共和国广告法》《中华人民共和国国家安全法》</w:t>
            </w:r>
            <w:r>
              <w:rPr>
                <w:rFonts w:hint="eastAsia" w:ascii="仿宋" w:hAnsi="仿宋" w:eastAsia="仿宋" w:cs="仿宋_GB2312"/>
                <w:sz w:val="28"/>
                <w:szCs w:val="28"/>
              </w:rPr>
              <w:t>《城市市容和环境卫生管理条例》《城市燃气管理条例》《湖南省城市综合管理条例》《永州市城市市容和卫生管理条例》《永州市公园广场管理条例》《永州市城市垃圾分类管理条例》《城市供水条例》《城市道路管理条例》《永州市城市照明管理办法》等法律法规和行政规范性文件。</w:t>
            </w:r>
          </w:p>
        </w:tc>
      </w:tr>
      <w:tr w14:paraId="126B0D2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7"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68DB098B">
            <w:pPr>
              <w:jc w:val="center"/>
              <w:rPr>
                <w:rFonts w:ascii="宋体" w:eastAsia="宋体" w:cs="Lucida Sans"/>
                <w:sz w:val="24"/>
              </w:rPr>
            </w:pPr>
            <w:r>
              <w:rPr>
                <w:rFonts w:hint="eastAsia" w:ascii="宋体" w:eastAsia="宋体" w:cs="Lucida Sans"/>
                <w:sz w:val="24"/>
              </w:rPr>
              <w:t>31</w:t>
            </w:r>
          </w:p>
        </w:tc>
        <w:tc>
          <w:tcPr>
            <w:tcW w:w="1749" w:type="dxa"/>
            <w:tcBorders>
              <w:top w:val="single" w:color="auto" w:sz="4" w:space="0"/>
              <w:left w:val="nil"/>
              <w:bottom w:val="single" w:color="auto" w:sz="4" w:space="0"/>
              <w:right w:val="single" w:color="auto" w:sz="4" w:space="0"/>
            </w:tcBorders>
            <w:noWrap/>
            <w:vAlign w:val="center"/>
          </w:tcPr>
          <w:p w14:paraId="3F366A2C">
            <w:pPr>
              <w:widowControl/>
              <w:jc w:val="center"/>
              <w:rPr>
                <w:rFonts w:ascii="仿宋" w:hAnsi="仿宋" w:eastAsia="仿宋" w:cs="仿宋_GB2312"/>
                <w:sz w:val="28"/>
                <w:szCs w:val="28"/>
              </w:rPr>
            </w:pPr>
            <w:r>
              <w:rPr>
                <w:rFonts w:hint="eastAsia" w:ascii="仿宋" w:hAnsi="仿宋" w:eastAsia="仿宋" w:cs="仿宋_GB2312"/>
                <w:sz w:val="28"/>
                <w:szCs w:val="28"/>
              </w:rPr>
              <w:t>县交警大队</w:t>
            </w:r>
          </w:p>
        </w:tc>
        <w:tc>
          <w:tcPr>
            <w:tcW w:w="10931" w:type="dxa"/>
            <w:tcBorders>
              <w:top w:val="single" w:color="auto" w:sz="4" w:space="0"/>
              <w:left w:val="nil"/>
              <w:bottom w:val="single" w:color="auto" w:sz="4" w:space="0"/>
              <w:right w:val="single" w:color="auto" w:sz="4" w:space="0"/>
            </w:tcBorders>
            <w:noWrap/>
            <w:vAlign w:val="center"/>
          </w:tcPr>
          <w:p w14:paraId="0BD13469">
            <w:pPr>
              <w:autoSpaceDN w:val="0"/>
              <w:spacing w:line="3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重点宣传普及刑法、刑事诉讼法、行政处罚法、行政复议法、国家赔偿法、道路交通安全法、湖南省实施（中华人民共和国道路交通安全法）办法、道路交通安全法实施条例、人民警察使用警械和武器条例、湖南省警务辅助人员条例、轿车安全管理条例、湖南省电动自行车管理办法、道路交通事故处理程序规定、机动车登记规定、机动车驾驶证申领和使用规定等法律法规。</w:t>
            </w:r>
          </w:p>
        </w:tc>
      </w:tr>
      <w:tr w14:paraId="632F80F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EA573E5">
            <w:pPr>
              <w:jc w:val="center"/>
              <w:rPr>
                <w:rFonts w:ascii="宋体" w:eastAsia="宋体" w:cs="Lucida Sans"/>
                <w:sz w:val="24"/>
              </w:rPr>
            </w:pPr>
            <w:r>
              <w:rPr>
                <w:rFonts w:hint="eastAsia" w:ascii="宋体" w:eastAsia="宋体" w:cs="Lucida Sans"/>
                <w:sz w:val="24"/>
              </w:rPr>
              <w:t>32</w:t>
            </w:r>
          </w:p>
        </w:tc>
        <w:tc>
          <w:tcPr>
            <w:tcW w:w="1749" w:type="dxa"/>
            <w:tcBorders>
              <w:top w:val="single" w:color="auto" w:sz="4" w:space="0"/>
              <w:left w:val="nil"/>
              <w:bottom w:val="single" w:color="auto" w:sz="4" w:space="0"/>
              <w:right w:val="single" w:color="auto" w:sz="4" w:space="0"/>
            </w:tcBorders>
            <w:noWrap/>
            <w:vAlign w:val="center"/>
          </w:tcPr>
          <w:p w14:paraId="26BFA7C2">
            <w:pPr>
              <w:widowControl/>
              <w:jc w:val="center"/>
              <w:rPr>
                <w:rFonts w:ascii="仿宋" w:hAnsi="仿宋" w:eastAsia="仿宋" w:cs="仿宋_GB2312"/>
                <w:sz w:val="28"/>
                <w:szCs w:val="28"/>
              </w:rPr>
            </w:pPr>
            <w:r>
              <w:rPr>
                <w:rFonts w:hint="eastAsia" w:ascii="仿宋" w:hAnsi="仿宋" w:eastAsia="仿宋" w:cs="仿宋_GB2312"/>
                <w:sz w:val="28"/>
                <w:szCs w:val="28"/>
              </w:rPr>
              <w:t>县总工会</w:t>
            </w:r>
          </w:p>
        </w:tc>
        <w:tc>
          <w:tcPr>
            <w:tcW w:w="10931" w:type="dxa"/>
            <w:tcBorders>
              <w:top w:val="single" w:color="auto" w:sz="4" w:space="0"/>
              <w:left w:val="nil"/>
              <w:bottom w:val="single" w:color="auto" w:sz="4" w:space="0"/>
              <w:right w:val="single" w:color="auto" w:sz="4" w:space="0"/>
            </w:tcBorders>
            <w:noWrap/>
            <w:vAlign w:val="center"/>
          </w:tcPr>
          <w:p w14:paraId="5153B551">
            <w:pPr>
              <w:autoSpaceDN w:val="0"/>
              <w:spacing w:line="300" w:lineRule="exact"/>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w:t>
            </w:r>
            <w:r>
              <w:rPr>
                <w:rFonts w:hint="eastAsia" w:ascii="仿宋" w:hAnsi="仿宋" w:eastAsia="仿宋" w:cs="仿宋_GB2312"/>
                <w:sz w:val="28"/>
                <w:szCs w:val="28"/>
              </w:rPr>
              <w:t>工会法、劳动法、劳动合同法、职业病防治法、湖南省工会劳动法律监督条例等法律法规。</w:t>
            </w:r>
          </w:p>
        </w:tc>
      </w:tr>
      <w:tr w14:paraId="281756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ADFBAC0">
            <w:pPr>
              <w:jc w:val="center"/>
              <w:rPr>
                <w:rFonts w:ascii="宋体" w:eastAsia="宋体" w:cs="Lucida Sans"/>
                <w:sz w:val="24"/>
              </w:rPr>
            </w:pPr>
            <w:r>
              <w:rPr>
                <w:rFonts w:hint="eastAsia" w:ascii="宋体" w:eastAsia="宋体" w:cs="Lucida Sans"/>
                <w:sz w:val="24"/>
              </w:rPr>
              <w:t>33</w:t>
            </w:r>
          </w:p>
        </w:tc>
        <w:tc>
          <w:tcPr>
            <w:tcW w:w="1749" w:type="dxa"/>
            <w:tcBorders>
              <w:top w:val="single" w:color="auto" w:sz="4" w:space="0"/>
              <w:left w:val="nil"/>
              <w:bottom w:val="single" w:color="auto" w:sz="4" w:space="0"/>
              <w:right w:val="single" w:color="auto" w:sz="4" w:space="0"/>
            </w:tcBorders>
            <w:noWrap/>
            <w:vAlign w:val="center"/>
          </w:tcPr>
          <w:p w14:paraId="51C541F7">
            <w:pPr>
              <w:widowControl/>
              <w:jc w:val="center"/>
              <w:rPr>
                <w:rFonts w:ascii="仿宋" w:hAnsi="仿宋" w:eastAsia="仿宋" w:cs="仿宋_GB2312"/>
                <w:sz w:val="28"/>
                <w:szCs w:val="28"/>
              </w:rPr>
            </w:pPr>
            <w:r>
              <w:rPr>
                <w:rFonts w:hint="eastAsia" w:ascii="仿宋" w:hAnsi="仿宋" w:eastAsia="仿宋" w:cs="仿宋_GB2312"/>
                <w:sz w:val="28"/>
                <w:szCs w:val="28"/>
              </w:rPr>
              <w:t>团县委</w:t>
            </w:r>
          </w:p>
        </w:tc>
        <w:tc>
          <w:tcPr>
            <w:tcW w:w="10931" w:type="dxa"/>
            <w:tcBorders>
              <w:top w:val="single" w:color="auto" w:sz="4" w:space="0"/>
              <w:left w:val="nil"/>
              <w:bottom w:val="single" w:color="auto" w:sz="4" w:space="0"/>
              <w:right w:val="single" w:color="auto" w:sz="4" w:space="0"/>
            </w:tcBorders>
            <w:noWrap/>
            <w:vAlign w:val="center"/>
          </w:tcPr>
          <w:p w14:paraId="5F1ADBAF">
            <w:pPr>
              <w:pStyle w:val="4"/>
              <w:spacing w:line="300" w:lineRule="exact"/>
              <w:rPr>
                <w:rFonts w:ascii="仿宋" w:hAnsi="仿宋" w:eastAsia="仿宋" w:cs="仿宋_GB2312"/>
                <w:sz w:val="28"/>
                <w:szCs w:val="28"/>
              </w:rPr>
            </w:pPr>
            <w:r>
              <w:rPr>
                <w:rFonts w:hint="eastAsia" w:ascii="仿宋" w:hAnsi="仿宋" w:eastAsia="仿宋" w:cs="仿宋_GB2312"/>
                <w:sz w:val="28"/>
                <w:szCs w:val="28"/>
              </w:rPr>
              <w:t xml:space="preserve">    重点宣传普及未成年人保护法、预防未成年人犯罪法、禁毒法、家庭教育促进法、反电信网络诈骗法、爱国主义教育法、未成年人网络保护条例、艾滋病防治条例、湖南省实施《中华人民共和国未成年人保护法》办法、湖南省实施《中华人民共和国预防未成年人犯罪法》办法等法律法规。</w:t>
            </w:r>
          </w:p>
        </w:tc>
      </w:tr>
      <w:tr w14:paraId="787F137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9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2E284417">
            <w:pPr>
              <w:jc w:val="center"/>
              <w:rPr>
                <w:rFonts w:ascii="宋体" w:eastAsia="宋体" w:cs="Lucida Sans"/>
                <w:sz w:val="24"/>
              </w:rPr>
            </w:pPr>
            <w:r>
              <w:rPr>
                <w:rFonts w:hint="eastAsia" w:ascii="宋体" w:eastAsia="宋体" w:cs="Lucida Sans"/>
                <w:sz w:val="24"/>
              </w:rPr>
              <w:t>34</w:t>
            </w:r>
          </w:p>
        </w:tc>
        <w:tc>
          <w:tcPr>
            <w:tcW w:w="1749" w:type="dxa"/>
            <w:tcBorders>
              <w:top w:val="single" w:color="auto" w:sz="4" w:space="0"/>
              <w:left w:val="nil"/>
              <w:bottom w:val="single" w:color="auto" w:sz="4" w:space="0"/>
              <w:right w:val="single" w:color="auto" w:sz="4" w:space="0"/>
            </w:tcBorders>
            <w:noWrap/>
            <w:vAlign w:val="center"/>
          </w:tcPr>
          <w:p w14:paraId="2EC65E77">
            <w:pPr>
              <w:widowControl/>
              <w:jc w:val="center"/>
              <w:rPr>
                <w:rFonts w:ascii="仿宋" w:hAnsi="仿宋" w:eastAsia="仿宋" w:cs="仿宋_GB2312"/>
                <w:sz w:val="28"/>
                <w:szCs w:val="28"/>
              </w:rPr>
            </w:pPr>
            <w:r>
              <w:rPr>
                <w:rFonts w:hint="eastAsia" w:ascii="仿宋" w:hAnsi="仿宋" w:eastAsia="仿宋" w:cs="仿宋_GB2312"/>
                <w:sz w:val="28"/>
                <w:szCs w:val="28"/>
              </w:rPr>
              <w:t>县妇联</w:t>
            </w:r>
          </w:p>
        </w:tc>
        <w:tc>
          <w:tcPr>
            <w:tcW w:w="10931" w:type="dxa"/>
            <w:tcBorders>
              <w:top w:val="single" w:color="auto" w:sz="4" w:space="0"/>
              <w:left w:val="nil"/>
              <w:bottom w:val="single" w:color="auto" w:sz="4" w:space="0"/>
              <w:right w:val="single" w:color="auto" w:sz="4" w:space="0"/>
            </w:tcBorders>
            <w:noWrap/>
            <w:vAlign w:val="center"/>
          </w:tcPr>
          <w:p w14:paraId="1542DC5B">
            <w:pPr>
              <w:pStyle w:val="5"/>
              <w:shd w:val="clear" w:color="auto" w:fill="FFFFFF"/>
              <w:spacing w:before="0" w:beforeAutospacing="0" w:after="0" w:afterAutospacing="0" w:line="300" w:lineRule="exact"/>
              <w:rPr>
                <w:rFonts w:ascii="仿宋" w:hAnsi="仿宋" w:eastAsia="仿宋" w:cs="仿宋_GB2312"/>
                <w:color w:val="000000"/>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w:t>
            </w:r>
            <w:r>
              <w:rPr>
                <w:rFonts w:hint="eastAsia" w:ascii="仿宋" w:hAnsi="仿宋" w:eastAsia="仿宋" w:cs="仿宋_GB2312"/>
                <w:sz w:val="28"/>
                <w:szCs w:val="28"/>
              </w:rPr>
              <w:t>妇女权益权益保障法、反家庭暴力法、未成年人保护法、家庭教育促进法、湖南省家庭教育促进条例、湖南省实施《中华人民共和国反家庭暴力法》办法等法律法规。</w:t>
            </w:r>
          </w:p>
        </w:tc>
      </w:tr>
      <w:tr w14:paraId="4B3999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05CCA8DC">
            <w:pPr>
              <w:tabs>
                <w:tab w:val="left" w:pos="420"/>
              </w:tabs>
              <w:jc w:val="center"/>
              <w:rPr>
                <w:rFonts w:ascii="宋体" w:eastAsia="宋体" w:cs="Lucida Sans"/>
                <w:sz w:val="24"/>
              </w:rPr>
            </w:pPr>
            <w:r>
              <w:rPr>
                <w:rFonts w:hint="eastAsia" w:ascii="宋体" w:eastAsia="宋体" w:cs="Lucida Sans"/>
                <w:sz w:val="24"/>
              </w:rPr>
              <w:t>35</w:t>
            </w:r>
          </w:p>
        </w:tc>
        <w:tc>
          <w:tcPr>
            <w:tcW w:w="1749" w:type="dxa"/>
            <w:tcBorders>
              <w:top w:val="single" w:color="auto" w:sz="4" w:space="0"/>
              <w:left w:val="nil"/>
              <w:bottom w:val="single" w:color="auto" w:sz="4" w:space="0"/>
              <w:right w:val="single" w:color="auto" w:sz="4" w:space="0"/>
            </w:tcBorders>
            <w:noWrap/>
            <w:vAlign w:val="center"/>
          </w:tcPr>
          <w:p w14:paraId="03C333DB">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县残联</w:t>
            </w:r>
          </w:p>
        </w:tc>
        <w:tc>
          <w:tcPr>
            <w:tcW w:w="10931" w:type="dxa"/>
            <w:tcBorders>
              <w:top w:val="single" w:color="auto" w:sz="4" w:space="0"/>
              <w:left w:val="nil"/>
              <w:bottom w:val="single" w:color="auto" w:sz="4" w:space="0"/>
              <w:right w:val="single" w:color="auto" w:sz="4" w:space="0"/>
            </w:tcBorders>
            <w:noWrap/>
            <w:vAlign w:val="center"/>
          </w:tcPr>
          <w:p w14:paraId="478E8CF5">
            <w:pPr>
              <w:tabs>
                <w:tab w:val="left" w:pos="420"/>
              </w:tabs>
              <w:autoSpaceDN w:val="0"/>
              <w:spacing w:line="300" w:lineRule="exact"/>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w:t>
            </w:r>
            <w:r>
              <w:rPr>
                <w:rFonts w:hint="eastAsia" w:ascii="仿宋" w:hAnsi="仿宋" w:eastAsia="仿宋" w:cs="仿宋_GB2312"/>
                <w:sz w:val="28"/>
                <w:szCs w:val="28"/>
              </w:rPr>
              <w:t>残疾人保障法、无障碍环境建设法、残疾预防和残疾人康复条例、残疾人就业条例、湖南省实施《中户人民共和国残疾人保障法》办法等法律法规。</w:t>
            </w:r>
          </w:p>
        </w:tc>
      </w:tr>
      <w:tr w14:paraId="17B730E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9"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750CE07F">
            <w:pPr>
              <w:tabs>
                <w:tab w:val="left" w:pos="420"/>
              </w:tabs>
              <w:jc w:val="center"/>
              <w:rPr>
                <w:rFonts w:ascii="宋体" w:eastAsia="宋体" w:cs="Lucida Sans"/>
                <w:sz w:val="24"/>
              </w:rPr>
            </w:pPr>
            <w:r>
              <w:rPr>
                <w:rFonts w:hint="eastAsia" w:ascii="宋体" w:eastAsia="宋体" w:cs="Lucida Sans"/>
                <w:sz w:val="24"/>
              </w:rPr>
              <w:t>36</w:t>
            </w:r>
          </w:p>
        </w:tc>
        <w:tc>
          <w:tcPr>
            <w:tcW w:w="1749" w:type="dxa"/>
            <w:tcBorders>
              <w:top w:val="single" w:color="auto" w:sz="4" w:space="0"/>
              <w:left w:val="nil"/>
              <w:bottom w:val="single" w:color="auto" w:sz="4" w:space="0"/>
              <w:right w:val="single" w:color="auto" w:sz="4" w:space="0"/>
            </w:tcBorders>
            <w:noWrap/>
            <w:vAlign w:val="center"/>
          </w:tcPr>
          <w:p w14:paraId="091CBA5D">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县科协</w:t>
            </w:r>
          </w:p>
        </w:tc>
        <w:tc>
          <w:tcPr>
            <w:tcW w:w="10931" w:type="dxa"/>
            <w:tcBorders>
              <w:top w:val="single" w:color="auto" w:sz="4" w:space="0"/>
              <w:left w:val="nil"/>
              <w:bottom w:val="single" w:color="auto" w:sz="4" w:space="0"/>
              <w:right w:val="single" w:color="auto" w:sz="4" w:space="0"/>
            </w:tcBorders>
            <w:noWrap/>
            <w:vAlign w:val="center"/>
          </w:tcPr>
          <w:p w14:paraId="45EF7BFC">
            <w:pPr>
              <w:tabs>
                <w:tab w:val="left" w:pos="420"/>
              </w:tabs>
              <w:autoSpaceDN w:val="0"/>
              <w:spacing w:line="300" w:lineRule="exact"/>
              <w:rPr>
                <w:rFonts w:ascii="仿宋" w:hAnsi="仿宋" w:eastAsia="仿宋" w:cs="仿宋_GB2312"/>
                <w:sz w:val="28"/>
                <w:szCs w:val="28"/>
              </w:rPr>
            </w:pPr>
            <w:r>
              <w:rPr>
                <w:rFonts w:hint="eastAsia" w:ascii="仿宋" w:hAnsi="仿宋" w:eastAsia="仿宋" w:cs="仿宋_GB2312"/>
                <w:bCs/>
                <w:sz w:val="28"/>
                <w:szCs w:val="28"/>
              </w:rPr>
              <w:t xml:space="preserve">    重点宣传普及</w:t>
            </w:r>
            <w:r>
              <w:rPr>
                <w:rFonts w:hint="eastAsia" w:ascii="仿宋" w:hAnsi="仿宋" w:eastAsia="仿宋" w:cs="仿宋_GB2312"/>
                <w:sz w:val="28"/>
                <w:szCs w:val="28"/>
              </w:rPr>
              <w:t>科学技术、湖南省科学技术进步条例等法律法规。</w:t>
            </w:r>
          </w:p>
        </w:tc>
      </w:tr>
      <w:tr w14:paraId="47FEED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682901F9">
            <w:pPr>
              <w:tabs>
                <w:tab w:val="left" w:pos="420"/>
              </w:tabs>
              <w:jc w:val="center"/>
              <w:rPr>
                <w:rFonts w:ascii="宋体" w:eastAsia="宋体" w:cs="Lucida Sans"/>
                <w:sz w:val="24"/>
              </w:rPr>
            </w:pPr>
            <w:r>
              <w:rPr>
                <w:rFonts w:hint="eastAsia" w:ascii="宋体" w:eastAsia="宋体" w:cs="Lucida Sans"/>
                <w:sz w:val="24"/>
              </w:rPr>
              <w:t>37</w:t>
            </w:r>
          </w:p>
        </w:tc>
        <w:tc>
          <w:tcPr>
            <w:tcW w:w="1749" w:type="dxa"/>
            <w:tcBorders>
              <w:top w:val="single" w:color="auto" w:sz="4" w:space="0"/>
              <w:left w:val="nil"/>
              <w:bottom w:val="single" w:color="auto" w:sz="4" w:space="0"/>
              <w:right w:val="single" w:color="auto" w:sz="4" w:space="0"/>
            </w:tcBorders>
            <w:noWrap/>
            <w:vAlign w:val="center"/>
          </w:tcPr>
          <w:p w14:paraId="6C0B1963">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县政务服务中心</w:t>
            </w:r>
          </w:p>
        </w:tc>
        <w:tc>
          <w:tcPr>
            <w:tcW w:w="10931" w:type="dxa"/>
            <w:tcBorders>
              <w:top w:val="single" w:color="auto" w:sz="4" w:space="0"/>
              <w:left w:val="nil"/>
              <w:bottom w:val="single" w:color="auto" w:sz="4" w:space="0"/>
              <w:right w:val="single" w:color="auto" w:sz="4" w:space="0"/>
            </w:tcBorders>
            <w:noWrap/>
            <w:vAlign w:val="center"/>
          </w:tcPr>
          <w:p w14:paraId="456338F0">
            <w:pPr>
              <w:tabs>
                <w:tab w:val="left" w:pos="420"/>
              </w:tabs>
              <w:autoSpaceDN w:val="0"/>
              <w:spacing w:line="360" w:lineRule="exact"/>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w:t>
            </w:r>
            <w:r>
              <w:rPr>
                <w:rFonts w:hint="eastAsia" w:ascii="仿宋" w:hAnsi="仿宋" w:eastAsia="仿宋" w:cs="仿宋_GB2312"/>
                <w:sz w:val="28"/>
                <w:szCs w:val="28"/>
              </w:rPr>
              <w:t>优化营商环境条例、政府信息公开条例、行政许可法、湖南省社会信用条例、湖南省省直单位政务信息系统项目建设管理办法、湖南省政务信息资源共享管理办法、湖南省营商环境投诉举报处理暂行办法、湖南省电子政务外网安全管理暂行办法、湖南省社会信用信息管理办法等法律法规。</w:t>
            </w:r>
          </w:p>
        </w:tc>
      </w:tr>
      <w:tr w14:paraId="5074464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45"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1BFB8DD9">
            <w:pPr>
              <w:tabs>
                <w:tab w:val="left" w:pos="420"/>
              </w:tabs>
              <w:jc w:val="center"/>
              <w:rPr>
                <w:rFonts w:ascii="宋体" w:eastAsia="宋体" w:cs="Lucida Sans"/>
                <w:sz w:val="24"/>
              </w:rPr>
            </w:pPr>
            <w:r>
              <w:rPr>
                <w:rFonts w:hint="eastAsia" w:ascii="宋体" w:eastAsia="宋体" w:cs="Lucida Sans"/>
                <w:sz w:val="24"/>
              </w:rPr>
              <w:t>38</w:t>
            </w:r>
          </w:p>
        </w:tc>
        <w:tc>
          <w:tcPr>
            <w:tcW w:w="1749" w:type="dxa"/>
            <w:tcBorders>
              <w:top w:val="single" w:color="auto" w:sz="4" w:space="0"/>
              <w:left w:val="nil"/>
              <w:bottom w:val="single" w:color="auto" w:sz="4" w:space="0"/>
              <w:right w:val="single" w:color="auto" w:sz="4" w:space="0"/>
            </w:tcBorders>
            <w:noWrap/>
            <w:vAlign w:val="center"/>
          </w:tcPr>
          <w:p w14:paraId="05DBE806">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县信访事务中心</w:t>
            </w:r>
          </w:p>
        </w:tc>
        <w:tc>
          <w:tcPr>
            <w:tcW w:w="10931" w:type="dxa"/>
            <w:tcBorders>
              <w:top w:val="single" w:color="auto" w:sz="4" w:space="0"/>
              <w:left w:val="nil"/>
              <w:bottom w:val="single" w:color="auto" w:sz="4" w:space="0"/>
              <w:right w:val="single" w:color="auto" w:sz="4" w:space="0"/>
            </w:tcBorders>
            <w:noWrap/>
            <w:vAlign w:val="center"/>
          </w:tcPr>
          <w:p w14:paraId="41C3C325">
            <w:pPr>
              <w:tabs>
                <w:tab w:val="left" w:pos="420"/>
              </w:tabs>
              <w:autoSpaceDN w:val="0"/>
              <w:spacing w:line="360" w:lineRule="exact"/>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重点宣传普及中国共产党纪律处分条例、行政复议法、信访工作条例、湖南省信访事项复查复核办法</w:t>
            </w:r>
            <w:r>
              <w:rPr>
                <w:rFonts w:hint="eastAsia" w:ascii="仿宋" w:hAnsi="仿宋" w:eastAsia="仿宋" w:cs="仿宋_GB2312"/>
                <w:sz w:val="28"/>
                <w:szCs w:val="28"/>
              </w:rPr>
              <w:t>等法律法规。</w:t>
            </w:r>
          </w:p>
        </w:tc>
      </w:tr>
      <w:tr w14:paraId="2390334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73"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6ECDF271">
            <w:pPr>
              <w:tabs>
                <w:tab w:val="left" w:pos="420"/>
              </w:tabs>
              <w:jc w:val="center"/>
              <w:rPr>
                <w:rFonts w:ascii="宋体" w:eastAsia="宋体" w:cs="Lucida Sans"/>
                <w:sz w:val="24"/>
              </w:rPr>
            </w:pPr>
            <w:r>
              <w:rPr>
                <w:rFonts w:hint="eastAsia" w:ascii="宋体" w:eastAsia="宋体" w:cs="Lucida Sans"/>
                <w:sz w:val="24"/>
              </w:rPr>
              <w:t>39</w:t>
            </w:r>
          </w:p>
        </w:tc>
        <w:tc>
          <w:tcPr>
            <w:tcW w:w="1749" w:type="dxa"/>
            <w:tcBorders>
              <w:top w:val="single" w:color="auto" w:sz="4" w:space="0"/>
              <w:left w:val="nil"/>
              <w:bottom w:val="single" w:color="auto" w:sz="4" w:space="0"/>
              <w:right w:val="single" w:color="auto" w:sz="4" w:space="0"/>
            </w:tcBorders>
            <w:noWrap/>
            <w:vAlign w:val="center"/>
          </w:tcPr>
          <w:p w14:paraId="1EA92F9F">
            <w:pPr>
              <w:widowControl/>
              <w:tabs>
                <w:tab w:val="left" w:pos="420"/>
              </w:tabs>
              <w:spacing w:line="500" w:lineRule="exact"/>
              <w:jc w:val="center"/>
              <w:rPr>
                <w:rFonts w:ascii="仿宋" w:hAnsi="仿宋" w:eastAsia="仿宋" w:cs="仿宋_GB2312"/>
                <w:sz w:val="28"/>
                <w:szCs w:val="28"/>
              </w:rPr>
            </w:pPr>
            <w:r>
              <w:rPr>
                <w:rFonts w:hint="eastAsia" w:ascii="仿宋" w:hAnsi="仿宋" w:eastAsia="仿宋" w:cs="仿宋_GB2312"/>
                <w:sz w:val="28"/>
                <w:szCs w:val="28"/>
              </w:rPr>
              <w:t>县机关事务中心</w:t>
            </w:r>
          </w:p>
        </w:tc>
        <w:tc>
          <w:tcPr>
            <w:tcW w:w="10931" w:type="dxa"/>
            <w:tcBorders>
              <w:top w:val="single" w:color="auto" w:sz="4" w:space="0"/>
              <w:left w:val="nil"/>
              <w:bottom w:val="single" w:color="auto" w:sz="4" w:space="0"/>
              <w:right w:val="single" w:color="auto" w:sz="4" w:space="0"/>
            </w:tcBorders>
            <w:noWrap/>
            <w:vAlign w:val="center"/>
          </w:tcPr>
          <w:p w14:paraId="07E656AE">
            <w:pPr>
              <w:tabs>
                <w:tab w:val="left" w:pos="420"/>
              </w:tabs>
              <w:spacing w:line="360" w:lineRule="exact"/>
              <w:rPr>
                <w:rFonts w:ascii="仿宋" w:hAnsi="仿宋" w:eastAsia="仿宋" w:cs="仿宋_GB2312"/>
                <w:sz w:val="28"/>
                <w:szCs w:val="28"/>
              </w:rPr>
            </w:pPr>
            <w:r>
              <w:rPr>
                <w:rFonts w:hint="eastAsia" w:ascii="仿宋" w:hAnsi="仿宋" w:eastAsia="仿宋" w:cs="仿宋_GB2312"/>
                <w:sz w:val="28"/>
                <w:szCs w:val="28"/>
              </w:rPr>
              <w:t xml:space="preserve">    </w:t>
            </w:r>
            <w:r>
              <w:rPr>
                <w:rFonts w:hint="eastAsia" w:ascii="仿宋" w:hAnsi="仿宋" w:eastAsia="仿宋" w:cs="仿宋_GB2312"/>
                <w:bCs/>
                <w:sz w:val="28"/>
                <w:szCs w:val="28"/>
              </w:rPr>
              <w:t>重点宣传普及</w:t>
            </w:r>
            <w:r>
              <w:rPr>
                <w:rFonts w:hint="eastAsia" w:ascii="仿宋" w:hAnsi="仿宋" w:eastAsia="仿宋" w:cs="仿宋_GB2312"/>
                <w:sz w:val="28"/>
                <w:szCs w:val="28"/>
              </w:rPr>
              <w:t>反食品浪费法、机关事务管理条例、公共机构节能条例等法律法规。</w:t>
            </w:r>
          </w:p>
        </w:tc>
      </w:tr>
      <w:tr w14:paraId="5EF9C6D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11" w:type="dxa"/>
            <w:tcBorders>
              <w:top w:val="single" w:color="auto" w:sz="4" w:space="0"/>
              <w:left w:val="single" w:color="auto" w:sz="4" w:space="0"/>
              <w:bottom w:val="single" w:color="auto" w:sz="4" w:space="0"/>
              <w:right w:val="single" w:color="auto" w:sz="4" w:space="0"/>
            </w:tcBorders>
            <w:noWrap/>
            <w:vAlign w:val="center"/>
          </w:tcPr>
          <w:p w14:paraId="15A2BB2D">
            <w:pPr>
              <w:tabs>
                <w:tab w:val="left" w:pos="420"/>
              </w:tabs>
              <w:jc w:val="center"/>
              <w:rPr>
                <w:rFonts w:ascii="宋体" w:eastAsia="宋体" w:cs="Lucida Sans"/>
                <w:sz w:val="24"/>
              </w:rPr>
            </w:pPr>
            <w:r>
              <w:rPr>
                <w:rFonts w:hint="eastAsia" w:ascii="宋体" w:eastAsia="宋体" w:cs="Lucida Sans"/>
                <w:sz w:val="24"/>
              </w:rPr>
              <w:t>40</w:t>
            </w:r>
          </w:p>
        </w:tc>
        <w:tc>
          <w:tcPr>
            <w:tcW w:w="1749" w:type="dxa"/>
            <w:tcBorders>
              <w:top w:val="single" w:color="auto" w:sz="4" w:space="0"/>
              <w:left w:val="nil"/>
              <w:bottom w:val="single" w:color="auto" w:sz="4" w:space="0"/>
              <w:right w:val="single" w:color="auto" w:sz="4" w:space="0"/>
            </w:tcBorders>
            <w:noWrap/>
            <w:vAlign w:val="center"/>
          </w:tcPr>
          <w:p w14:paraId="31AA6706">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县气象局</w:t>
            </w:r>
          </w:p>
        </w:tc>
        <w:tc>
          <w:tcPr>
            <w:tcW w:w="10931" w:type="dxa"/>
            <w:tcBorders>
              <w:top w:val="single" w:color="auto" w:sz="4" w:space="0"/>
              <w:left w:val="nil"/>
              <w:bottom w:val="single" w:color="auto" w:sz="4" w:space="0"/>
              <w:right w:val="single" w:color="auto" w:sz="4" w:space="0"/>
            </w:tcBorders>
            <w:noWrap/>
            <w:vAlign w:val="center"/>
          </w:tcPr>
          <w:p w14:paraId="0E4BF113">
            <w:pPr>
              <w:tabs>
                <w:tab w:val="left" w:pos="420"/>
              </w:tabs>
              <w:autoSpaceDN w:val="0"/>
              <w:spacing w:line="360" w:lineRule="exact"/>
              <w:ind w:firstLine="560" w:firstLineChars="200"/>
              <w:rPr>
                <w:rFonts w:ascii="仿宋" w:hAnsi="仿宋" w:eastAsia="仿宋" w:cs="仿宋_GB2312"/>
                <w:sz w:val="28"/>
                <w:szCs w:val="28"/>
              </w:rPr>
            </w:pPr>
            <w:r>
              <w:rPr>
                <w:rFonts w:hint="eastAsia" w:ascii="仿宋" w:hAnsi="仿宋" w:eastAsia="仿宋" w:cs="仿宋_GB2312"/>
                <w:bCs/>
                <w:sz w:val="28"/>
                <w:szCs w:val="28"/>
              </w:rPr>
              <w:t>重点宣传普及</w:t>
            </w:r>
            <w:r>
              <w:rPr>
                <w:rFonts w:hint="eastAsia" w:ascii="仿宋" w:hAnsi="仿宋" w:eastAsia="仿宋" w:cs="仿宋_GB2312"/>
                <w:sz w:val="28"/>
                <w:szCs w:val="28"/>
              </w:rPr>
              <w:t>气象法、长江保护法、气象灾害防御条例、人工影响天气管理条例、湖南省气象灾害防御条例、湖南省雷电灾害防御条例、湖南省湘江保护条例、气象设施和气象探测环境保护条例、湖南省实施《中华人民共和国气象法》办法、具有重要地理方位意义的气象实施命名更名管理办法、气象行业管理若干规定</w:t>
            </w:r>
            <w:r>
              <w:rPr>
                <w:rFonts w:hint="eastAsia" w:ascii="仿宋" w:hAnsi="仿宋" w:eastAsia="仿宋" w:cs="仿宋_GB2312"/>
                <w:spacing w:val="-6"/>
                <w:sz w:val="28"/>
                <w:szCs w:val="28"/>
              </w:rPr>
              <w:t>等气象防灾减灾方面的法律法规。</w:t>
            </w:r>
          </w:p>
        </w:tc>
      </w:tr>
      <w:tr w14:paraId="26A603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2B411D1F">
            <w:pPr>
              <w:tabs>
                <w:tab w:val="left" w:pos="420"/>
              </w:tabs>
              <w:jc w:val="center"/>
              <w:rPr>
                <w:rFonts w:ascii="宋体" w:eastAsia="宋体" w:cs="Lucida Sans"/>
                <w:sz w:val="24"/>
              </w:rPr>
            </w:pPr>
            <w:r>
              <w:rPr>
                <w:rFonts w:hint="eastAsia" w:ascii="宋体" w:eastAsia="宋体" w:cs="Lucida Sans"/>
                <w:sz w:val="24"/>
              </w:rPr>
              <w:t>41</w:t>
            </w:r>
          </w:p>
        </w:tc>
        <w:tc>
          <w:tcPr>
            <w:tcW w:w="1749" w:type="dxa"/>
            <w:tcBorders>
              <w:top w:val="single" w:color="auto" w:sz="4" w:space="0"/>
              <w:left w:val="nil"/>
              <w:bottom w:val="single" w:color="auto" w:sz="4" w:space="0"/>
              <w:right w:val="single" w:color="auto" w:sz="4" w:space="0"/>
            </w:tcBorders>
            <w:noWrap/>
            <w:vAlign w:val="center"/>
          </w:tcPr>
          <w:p w14:paraId="118EDD5B">
            <w:pPr>
              <w:widowControl/>
              <w:tabs>
                <w:tab w:val="left" w:pos="420"/>
              </w:tabs>
              <w:spacing w:line="360" w:lineRule="exact"/>
              <w:jc w:val="center"/>
              <w:rPr>
                <w:rFonts w:ascii="仿宋" w:hAnsi="仿宋" w:eastAsia="仿宋" w:cs="仿宋_GB2312"/>
                <w:sz w:val="28"/>
                <w:szCs w:val="28"/>
              </w:rPr>
            </w:pPr>
            <w:r>
              <w:rPr>
                <w:rFonts w:hint="eastAsia" w:ascii="仿宋" w:hAnsi="仿宋" w:eastAsia="仿宋" w:cs="仿宋_GB2312"/>
                <w:sz w:val="28"/>
                <w:szCs w:val="28"/>
              </w:rPr>
              <w:t>国家税务总局双牌县税务局</w:t>
            </w:r>
          </w:p>
        </w:tc>
        <w:tc>
          <w:tcPr>
            <w:tcW w:w="10931" w:type="dxa"/>
            <w:tcBorders>
              <w:top w:val="single" w:color="auto" w:sz="4" w:space="0"/>
              <w:left w:val="nil"/>
              <w:bottom w:val="single" w:color="auto" w:sz="4" w:space="0"/>
              <w:right w:val="single" w:color="auto" w:sz="4" w:space="0"/>
            </w:tcBorders>
            <w:noWrap/>
            <w:vAlign w:val="center"/>
          </w:tcPr>
          <w:p w14:paraId="3A545F1E">
            <w:pPr>
              <w:pStyle w:val="4"/>
              <w:tabs>
                <w:tab w:val="left" w:pos="420"/>
              </w:tabs>
              <w:spacing w:line="340" w:lineRule="exact"/>
              <w:ind w:firstLine="560" w:firstLineChars="200"/>
              <w:rPr>
                <w:rFonts w:ascii="仿宋" w:hAnsi="仿宋" w:eastAsia="仿宋" w:cs="仿宋_GB2312"/>
                <w:bCs/>
                <w:sz w:val="28"/>
                <w:szCs w:val="28"/>
              </w:rPr>
            </w:pPr>
            <w:r>
              <w:rPr>
                <w:rFonts w:hint="eastAsia" w:ascii="仿宋" w:hAnsi="仿宋" w:eastAsia="仿宋" w:cs="仿宋_GB2312"/>
                <w:bCs/>
                <w:sz w:val="28"/>
                <w:szCs w:val="28"/>
              </w:rPr>
              <w:t>重点宣传普及企业所得税法、个人所得税法、车船税法、环境保护税法、烟叶税法、耕地占用税法、车辆购置税法、资源税法、契税法、城市维护建设税法、印花税法、税收征收管理法、增值税暂行条例、消费税暂行条例、房产税暂行条例、城镇土地使用税暂行条例、土地增值税暂行条例、企业所得税实施条例、个人所得税法实施条例等法律法规。</w:t>
            </w:r>
          </w:p>
        </w:tc>
      </w:tr>
      <w:tr w14:paraId="206E5FA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62"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07D4BA0A">
            <w:pPr>
              <w:tabs>
                <w:tab w:val="left" w:pos="420"/>
              </w:tabs>
              <w:jc w:val="center"/>
              <w:rPr>
                <w:rFonts w:ascii="宋体" w:eastAsia="宋体" w:cs="Lucida Sans"/>
                <w:sz w:val="24"/>
              </w:rPr>
            </w:pPr>
            <w:r>
              <w:rPr>
                <w:rFonts w:hint="eastAsia" w:ascii="宋体" w:eastAsia="宋体" w:cs="Lucida Sans"/>
                <w:sz w:val="24"/>
              </w:rPr>
              <w:t>42</w:t>
            </w:r>
          </w:p>
        </w:tc>
        <w:tc>
          <w:tcPr>
            <w:tcW w:w="1749" w:type="dxa"/>
            <w:tcBorders>
              <w:top w:val="single" w:color="auto" w:sz="4" w:space="0"/>
              <w:left w:val="nil"/>
              <w:bottom w:val="single" w:color="auto" w:sz="4" w:space="0"/>
              <w:right w:val="single" w:color="auto" w:sz="4" w:space="0"/>
            </w:tcBorders>
            <w:noWrap/>
            <w:vAlign w:val="center"/>
          </w:tcPr>
          <w:p w14:paraId="2E2DD3B3">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市生态环境局双牌分局</w:t>
            </w:r>
          </w:p>
        </w:tc>
        <w:tc>
          <w:tcPr>
            <w:tcW w:w="10931" w:type="dxa"/>
            <w:tcBorders>
              <w:top w:val="single" w:color="auto" w:sz="4" w:space="0"/>
              <w:left w:val="nil"/>
              <w:bottom w:val="single" w:color="auto" w:sz="4" w:space="0"/>
              <w:right w:val="single" w:color="auto" w:sz="4" w:space="0"/>
            </w:tcBorders>
            <w:noWrap/>
            <w:vAlign w:val="center"/>
          </w:tcPr>
          <w:p w14:paraId="1FAA7FAC">
            <w:pPr>
              <w:pStyle w:val="7"/>
              <w:tabs>
                <w:tab w:val="left" w:pos="420"/>
              </w:tabs>
              <w:spacing w:line="360" w:lineRule="exact"/>
              <w:ind w:firstLine="560"/>
              <w:rPr>
                <w:rFonts w:ascii="仿宋" w:hAnsi="仿宋" w:eastAsia="仿宋" w:cs="仿宋_GB2312"/>
                <w:sz w:val="28"/>
              </w:rPr>
            </w:pPr>
            <w:r>
              <w:rPr>
                <w:rFonts w:hint="eastAsia" w:ascii="仿宋" w:hAnsi="仿宋" w:eastAsia="仿宋" w:cs="仿宋_GB2312"/>
                <w:sz w:val="28"/>
              </w:rPr>
              <w:t>重点宣传普及环境保护法、水污染防治法、土壤污染防治法、固体废物污染环境防治法、大气污染防治法、噪声污染防治法、放射性污染防治法、环境影响评价法、清洁生产促进法、长江保护法、湿地保护法、湖南省洞庭湖保护条例、湖南省环境保护条例、湖南省湿地保护条例、湖南省实施《中华人民共和国土壤污染防治法》办法、湖南省实施《中华人民共和国固体废物污染环境防治法》办法、湖南省大气污染防治条例、永州市饮用水水源地保护规定等法律法规。</w:t>
            </w:r>
          </w:p>
        </w:tc>
      </w:tr>
      <w:tr w14:paraId="20A866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90" w:hRule="atLeast"/>
        </w:trPr>
        <w:tc>
          <w:tcPr>
            <w:tcW w:w="911" w:type="dxa"/>
            <w:tcBorders>
              <w:top w:val="single" w:color="auto" w:sz="4" w:space="0"/>
              <w:left w:val="single" w:color="auto" w:sz="4" w:space="0"/>
              <w:bottom w:val="single" w:color="auto" w:sz="4" w:space="0"/>
              <w:right w:val="single" w:color="auto" w:sz="4" w:space="0"/>
            </w:tcBorders>
            <w:noWrap/>
            <w:vAlign w:val="center"/>
          </w:tcPr>
          <w:p w14:paraId="46A97E68">
            <w:pPr>
              <w:tabs>
                <w:tab w:val="left" w:pos="420"/>
              </w:tabs>
              <w:jc w:val="center"/>
              <w:rPr>
                <w:rFonts w:ascii="宋体" w:eastAsia="宋体" w:cs="Lucida Sans"/>
                <w:sz w:val="24"/>
              </w:rPr>
            </w:pPr>
            <w:r>
              <w:rPr>
                <w:rFonts w:hint="eastAsia" w:ascii="宋体" w:eastAsia="宋体" w:cs="Lucida Sans"/>
                <w:sz w:val="24"/>
              </w:rPr>
              <w:t>43</w:t>
            </w:r>
          </w:p>
        </w:tc>
        <w:tc>
          <w:tcPr>
            <w:tcW w:w="1749" w:type="dxa"/>
            <w:tcBorders>
              <w:top w:val="single" w:color="auto" w:sz="4" w:space="0"/>
              <w:left w:val="nil"/>
              <w:bottom w:val="single" w:color="auto" w:sz="4" w:space="0"/>
              <w:right w:val="single" w:color="auto" w:sz="4" w:space="0"/>
            </w:tcBorders>
            <w:noWrap/>
            <w:vAlign w:val="center"/>
          </w:tcPr>
          <w:p w14:paraId="44B243FA">
            <w:pPr>
              <w:widowControl/>
              <w:tabs>
                <w:tab w:val="left" w:pos="420"/>
              </w:tabs>
              <w:jc w:val="center"/>
              <w:rPr>
                <w:rFonts w:ascii="仿宋" w:hAnsi="仿宋" w:eastAsia="仿宋" w:cs="仿宋_GB2312"/>
                <w:sz w:val="28"/>
                <w:szCs w:val="28"/>
              </w:rPr>
            </w:pPr>
            <w:r>
              <w:rPr>
                <w:rFonts w:hint="eastAsia" w:ascii="仿宋" w:hAnsi="仿宋" w:eastAsia="仿宋" w:cs="仿宋_GB2312"/>
                <w:sz w:val="28"/>
                <w:szCs w:val="28"/>
              </w:rPr>
              <w:t>县消防大队</w:t>
            </w:r>
          </w:p>
        </w:tc>
        <w:tc>
          <w:tcPr>
            <w:tcW w:w="10931" w:type="dxa"/>
            <w:tcBorders>
              <w:top w:val="single" w:color="auto" w:sz="4" w:space="0"/>
              <w:left w:val="nil"/>
              <w:bottom w:val="single" w:color="auto" w:sz="4" w:space="0"/>
              <w:right w:val="single" w:color="auto" w:sz="4" w:space="0"/>
            </w:tcBorders>
            <w:noWrap/>
            <w:vAlign w:val="center"/>
          </w:tcPr>
          <w:p w14:paraId="49FD3F2B">
            <w:pPr>
              <w:tabs>
                <w:tab w:val="left" w:pos="420"/>
              </w:tabs>
              <w:autoSpaceDN w:val="0"/>
              <w:spacing w:line="340" w:lineRule="exact"/>
              <w:rPr>
                <w:rFonts w:ascii="仿宋" w:hAnsi="仿宋" w:eastAsia="仿宋" w:cs="仿宋_GB2312"/>
                <w:sz w:val="28"/>
                <w:szCs w:val="28"/>
              </w:rPr>
            </w:pPr>
            <w:r>
              <w:rPr>
                <w:rFonts w:hint="eastAsia" w:ascii="仿宋" w:hAnsi="仿宋" w:eastAsia="仿宋" w:cs="仿宋_GB2312"/>
                <w:bCs/>
                <w:sz w:val="28"/>
                <w:szCs w:val="28"/>
              </w:rPr>
              <w:t xml:space="preserve">    重点宣传普及</w:t>
            </w:r>
            <w:r>
              <w:rPr>
                <w:rFonts w:hint="eastAsia" w:ascii="仿宋" w:hAnsi="仿宋" w:eastAsia="仿宋" w:cs="仿宋_GB2312"/>
                <w:sz w:val="28"/>
                <w:szCs w:val="28"/>
              </w:rPr>
              <w:t>消防法、湖南省实施《中华人民共和国消防法》办法、湖南省城镇居民住宅区消防安全管理若干规定等法律法规。</w:t>
            </w:r>
          </w:p>
        </w:tc>
      </w:tr>
    </w:tbl>
    <w:p w14:paraId="72BF94C6">
      <w:pPr>
        <w:widowControl/>
        <w:jc w:val="left"/>
        <w:rPr>
          <w:rFonts w:ascii="黑体" w:hAnsi="黑体" w:eastAsia="黑体" w:cs="黑体"/>
          <w:bCs/>
          <w:sz w:val="32"/>
          <w:szCs w:val="32"/>
        </w:rPr>
        <w:sectPr>
          <w:pgSz w:w="16838" w:h="11906" w:orient="landscape"/>
          <w:pgMar w:top="1644" w:right="2041" w:bottom="1531" w:left="1814" w:header="1587" w:footer="1417" w:gutter="0"/>
          <w:pgNumType w:fmt="numberInDash"/>
          <w:cols w:space="720" w:num="1"/>
          <w:docGrid w:type="lines" w:linePitch="312" w:charSpace="0"/>
        </w:sectPr>
      </w:pPr>
    </w:p>
    <w:p w14:paraId="591BA3F2">
      <w:bookmarkStart w:id="0" w:name="_GoBack"/>
      <w:bookmarkEnd w:id="0"/>
    </w:p>
    <w:sectPr>
      <w:pgSz w:w="16838" w:h="11906" w:orient="landscape"/>
      <w:pgMar w:top="1800" w:right="1440" w:bottom="1800" w:left="1440"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05"/>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c0MzgxMWQ3ZTNhNTY1NzI3YmQzOTkwZTk3Y2FkYjkifQ=="/>
  </w:docVars>
  <w:rsids>
    <w:rsidRoot w:val="00AE26FF"/>
    <w:rsid w:val="00323B43"/>
    <w:rsid w:val="003D37D8"/>
    <w:rsid w:val="004358AB"/>
    <w:rsid w:val="007301E5"/>
    <w:rsid w:val="008B7726"/>
    <w:rsid w:val="00AE26FF"/>
    <w:rsid w:val="00BD46B2"/>
    <w:rsid w:val="4F9F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Body Text Indent"/>
    <w:basedOn w:val="1"/>
    <w:link w:val="14"/>
    <w:semiHidden/>
    <w:unhideWhenUsed/>
    <w:uiPriority w:val="99"/>
    <w:pPr>
      <w:spacing w:after="120"/>
      <w:ind w:left="420" w:leftChars="200"/>
    </w:pPr>
  </w:style>
  <w:style w:type="paragraph" w:styleId="4">
    <w:name w:val="footnote text"/>
    <w:basedOn w:val="1"/>
    <w:link w:val="11"/>
    <w:unhideWhenUsed/>
    <w:qFormat/>
    <w:uiPriority w:val="0"/>
    <w:pPr>
      <w:snapToGrid w:val="0"/>
      <w:jc w:val="left"/>
    </w:pPr>
    <w:rPr>
      <w:rFonts w:ascii="Calibri" w:hAnsi="Calibri"/>
      <w:sz w:val="18"/>
      <w:szCs w:val="18"/>
    </w:rPr>
  </w:style>
  <w:style w:type="paragraph" w:styleId="5">
    <w:name w:val="HTML Preformatted"/>
    <w:link w:val="10"/>
    <w:unhideWhenUs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pPr>
    <w:rPr>
      <w:rFonts w:ascii="Courier New" w:hAnsi="Courier New" w:eastAsia="宋体" w:cs="Times New Roman"/>
      <w:kern w:val="2"/>
      <w:sz w:val="20"/>
      <w:szCs w:val="21"/>
      <w:lang w:val="en-US" w:eastAsia="zh-CN" w:bidi="ar-SA"/>
    </w:rPr>
  </w:style>
  <w:style w:type="paragraph" w:styleId="6">
    <w:name w:val="Body Text First Indent"/>
    <w:basedOn w:val="2"/>
    <w:link w:val="13"/>
    <w:unhideWhenUsed/>
    <w:qFormat/>
    <w:uiPriority w:val="0"/>
    <w:pPr>
      <w:ind w:firstLine="420" w:firstLineChars="100"/>
    </w:pPr>
  </w:style>
  <w:style w:type="paragraph" w:styleId="7">
    <w:name w:val="Body Text First Indent 2"/>
    <w:basedOn w:val="3"/>
    <w:next w:val="1"/>
    <w:link w:val="15"/>
    <w:unhideWhenUsed/>
    <w:qFormat/>
    <w:uiPriority w:val="0"/>
    <w:pPr>
      <w:spacing w:after="0"/>
      <w:ind w:left="0" w:leftChars="0" w:firstLine="420" w:firstLineChars="200"/>
    </w:pPr>
    <w:rPr>
      <w:rFonts w:ascii="仿宋_GB2312" w:hAnsi="宋体" w:eastAsia="仿宋_GB2312" w:cs="Arial"/>
      <w:bCs/>
      <w:sz w:val="30"/>
      <w:szCs w:val="28"/>
    </w:rPr>
  </w:style>
  <w:style w:type="character" w:customStyle="1" w:styleId="10">
    <w:name w:val="HTML 预设格式 Char"/>
    <w:basedOn w:val="9"/>
    <w:link w:val="5"/>
    <w:qFormat/>
    <w:uiPriority w:val="0"/>
    <w:rPr>
      <w:rFonts w:ascii="Courier New" w:hAnsi="Courier New" w:eastAsia="宋体" w:cs="Times New Roman"/>
      <w:kern w:val="2"/>
      <w:sz w:val="20"/>
      <w:szCs w:val="21"/>
    </w:rPr>
  </w:style>
  <w:style w:type="character" w:customStyle="1" w:styleId="11">
    <w:name w:val="脚注文本 Char"/>
    <w:basedOn w:val="9"/>
    <w:link w:val="4"/>
    <w:qFormat/>
    <w:uiPriority w:val="0"/>
    <w:rPr>
      <w:rFonts w:ascii="Calibri" w:hAnsi="Calibri" w:eastAsiaTheme="minorEastAsia"/>
      <w:kern w:val="2"/>
      <w:sz w:val="18"/>
      <w:szCs w:val="18"/>
    </w:rPr>
  </w:style>
  <w:style w:type="character" w:customStyle="1" w:styleId="12">
    <w:name w:val="正文文本 Char"/>
    <w:basedOn w:val="9"/>
    <w:link w:val="2"/>
    <w:semiHidden/>
    <w:qFormat/>
    <w:uiPriority w:val="99"/>
    <w:rPr>
      <w:rFonts w:eastAsiaTheme="minorEastAsia"/>
      <w:kern w:val="2"/>
      <w:sz w:val="21"/>
      <w:szCs w:val="24"/>
    </w:rPr>
  </w:style>
  <w:style w:type="character" w:customStyle="1" w:styleId="13">
    <w:name w:val="正文首行缩进 Char"/>
    <w:basedOn w:val="12"/>
    <w:link w:val="6"/>
    <w:qFormat/>
    <w:uiPriority w:val="0"/>
  </w:style>
  <w:style w:type="character" w:customStyle="1" w:styleId="14">
    <w:name w:val="正文文本缩进 Char"/>
    <w:basedOn w:val="9"/>
    <w:link w:val="3"/>
    <w:semiHidden/>
    <w:qFormat/>
    <w:uiPriority w:val="99"/>
    <w:rPr>
      <w:rFonts w:eastAsiaTheme="minorEastAsia"/>
      <w:kern w:val="2"/>
      <w:sz w:val="21"/>
      <w:szCs w:val="24"/>
    </w:rPr>
  </w:style>
  <w:style w:type="character" w:customStyle="1" w:styleId="15">
    <w:name w:val="正文首行缩进 2 Char"/>
    <w:basedOn w:val="14"/>
    <w:link w:val="7"/>
    <w:qFormat/>
    <w:uiPriority w:val="0"/>
    <w:rPr>
      <w:rFonts w:ascii="仿宋_GB2312" w:hAnsi="宋体" w:eastAsia="仿宋_GB2312" w:cs="Arial"/>
      <w:bCs/>
      <w:sz w:val="30"/>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18514</Words>
  <Characters>18924</Characters>
  <Lines>139</Lines>
  <Paragraphs>39</Paragraphs>
  <TotalTime>3</TotalTime>
  <ScaleCrop>false</ScaleCrop>
  <LinksUpToDate>false</LinksUpToDate>
  <CharactersWithSpaces>19083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2024-08-27T00:57:00Z</dcterms:created>
  <dc:creator>xtzj</dc:creator>
  <cp:lastModifiedBy>Administrator</cp:lastModifiedBy>
  <dcterms:modified xsi:type="dcterms:W3CDTF">2024-08-27T07:43:19Z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09DAD1EC033C4031BC8DFF825E9EC3B8_12</vt:lpwstr>
  </property>
</Properties>
</file>