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文化旅游广电体育局</w:t>
      </w:r>
      <w:r>
        <w:rPr>
          <w:rFonts w:hint="eastAsia" w:ascii="方正小标宋简体" w:eastAsia="方正小标宋简体"/>
          <w:sz w:val="52"/>
          <w:szCs w:val="24"/>
        </w:rPr>
        <w:t>部门整体支出绩效自评报告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文化旅游广电体育局</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19</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spacing w:line="520" w:lineRule="exact"/>
        <w:ind w:firstLine="640"/>
        <w:rPr>
          <w:rFonts w:hint="default" w:eastAsia="Times New Roman"/>
          <w:sz w:val="32"/>
        </w:rPr>
      </w:pPr>
      <w:r>
        <w:rPr>
          <w:rFonts w:hint="eastAsia" w:ascii="仿宋" w:hAnsi="仿宋" w:eastAsia="仿宋"/>
          <w:sz w:val="32"/>
        </w:rPr>
        <w:t>1．主要职能。</w:t>
      </w:r>
    </w:p>
    <w:p>
      <w:pPr>
        <w:spacing w:line="520" w:lineRule="exact"/>
        <w:ind w:firstLine="640"/>
        <w:rPr>
          <w:rFonts w:hint="eastAsia" w:ascii="仿宋" w:hAnsi="仿宋" w:eastAsia="仿宋"/>
          <w:sz w:val="32"/>
        </w:rPr>
      </w:pPr>
      <w:r>
        <w:rPr>
          <w:rFonts w:hint="eastAsia" w:ascii="仿宋" w:hAnsi="仿宋" w:eastAsia="仿宋"/>
          <w:sz w:val="32"/>
        </w:rPr>
        <w:t>（1）贯彻执行党和国家、省、市有关文化、旅游、广播电视、体育、文物工作的法律法规、规章制度和方针政策；起草有关规范性文件并监督实施。</w:t>
      </w:r>
    </w:p>
    <w:p>
      <w:pPr>
        <w:spacing w:line="520" w:lineRule="exact"/>
        <w:ind w:firstLine="640"/>
        <w:rPr>
          <w:rFonts w:hint="eastAsia" w:ascii="仿宋" w:hAnsi="仿宋" w:eastAsia="仿宋"/>
          <w:sz w:val="32"/>
        </w:rPr>
      </w:pPr>
      <w:r>
        <w:rPr>
          <w:rFonts w:hint="eastAsia" w:ascii="仿宋" w:hAnsi="仿宋" w:eastAsia="仿宋"/>
          <w:sz w:val="32"/>
        </w:rPr>
        <w:t>（2）指导和推进文化、旅游、广播电视、体育、文物领域体制机制改革，推进全县文化旅游融合发展，编制实施全县文化、旅游、广播电视、体育、文物事业的发展战略、发展目标、发展规划和年度计划。</w:t>
      </w:r>
    </w:p>
    <w:p>
      <w:pPr>
        <w:spacing w:line="520" w:lineRule="exact"/>
        <w:ind w:firstLine="640"/>
        <w:rPr>
          <w:rFonts w:hint="eastAsia" w:ascii="仿宋" w:hAnsi="仿宋" w:eastAsia="仿宋"/>
          <w:sz w:val="32"/>
        </w:rPr>
      </w:pPr>
      <w:r>
        <w:rPr>
          <w:rFonts w:hint="eastAsia" w:ascii="仿宋" w:hAnsi="仿宋" w:eastAsia="仿宋"/>
          <w:sz w:val="32"/>
        </w:rPr>
        <w:t>（3）管理全县性重大文化、旅游、体育活动，指导推进全域旅游和全县文化、旅游、广播电视、体育和文物设施项目建设，促进文化、旅游、广播电视、体育产业对外合作交流。</w:t>
      </w:r>
    </w:p>
    <w:p>
      <w:pPr>
        <w:spacing w:line="520" w:lineRule="exact"/>
        <w:ind w:firstLine="640"/>
        <w:rPr>
          <w:rFonts w:hint="eastAsia" w:ascii="仿宋" w:hAnsi="仿宋" w:eastAsia="仿宋"/>
          <w:sz w:val="32"/>
        </w:rPr>
      </w:pPr>
      <w:r>
        <w:rPr>
          <w:rFonts w:hint="eastAsia" w:ascii="仿宋" w:hAnsi="仿宋" w:eastAsia="仿宋"/>
          <w:sz w:val="32"/>
        </w:rPr>
        <w:t>（4）管理全县文学艺术事业，指导艺术创作与生产，重点扶持具有代表性示范性的文艺作品，参与组织重大文化艺术活动。</w:t>
      </w:r>
    </w:p>
    <w:p>
      <w:pPr>
        <w:spacing w:line="520" w:lineRule="exact"/>
        <w:ind w:firstLine="640"/>
        <w:rPr>
          <w:rFonts w:hint="eastAsia" w:ascii="仿宋" w:hAnsi="仿宋" w:eastAsia="仿宋"/>
          <w:sz w:val="32"/>
        </w:rPr>
      </w:pPr>
      <w:r>
        <w:rPr>
          <w:rFonts w:hint="eastAsia" w:ascii="仿宋" w:hAnsi="仿宋" w:eastAsia="仿宋"/>
          <w:sz w:val="32"/>
        </w:rPr>
        <w:t>（5）组织、指导全县文化、旅游、广播电视、体育、文物的公共文化服务，指导公共文化产品的生产；指导社会文化事业和文化艺术普及工作，推进全县文化旅游公共服务体系建设。</w:t>
      </w:r>
    </w:p>
    <w:p>
      <w:pPr>
        <w:spacing w:line="520" w:lineRule="exact"/>
        <w:ind w:firstLine="640"/>
        <w:rPr>
          <w:rFonts w:hint="eastAsia" w:ascii="仿宋" w:hAnsi="仿宋" w:eastAsia="仿宋"/>
          <w:sz w:val="32"/>
        </w:rPr>
      </w:pPr>
      <w:r>
        <w:rPr>
          <w:rFonts w:hint="eastAsia" w:ascii="仿宋" w:hAnsi="仿宋" w:eastAsia="仿宋"/>
          <w:sz w:val="32"/>
        </w:rPr>
        <w:t>（6）指导、监管全县文化市场综合行政执法工作。指导全县文化、旅游、广播电视、体育、文物市场发展，对文化、旅游、广播电视、体育、文物市场经营进行行业监管，推进行业信用体系建设。</w:t>
      </w:r>
    </w:p>
    <w:p>
      <w:pPr>
        <w:spacing w:line="520" w:lineRule="exact"/>
        <w:ind w:firstLine="640"/>
        <w:rPr>
          <w:rFonts w:hint="eastAsia" w:ascii="仿宋" w:hAnsi="仿宋" w:eastAsia="仿宋"/>
          <w:sz w:val="32"/>
        </w:rPr>
      </w:pPr>
      <w:r>
        <w:rPr>
          <w:rFonts w:hint="eastAsia" w:ascii="仿宋" w:hAnsi="仿宋" w:eastAsia="仿宋"/>
          <w:sz w:val="32"/>
        </w:rPr>
        <w:t>（7）负责全县非物质文化遗产保护和优秀民族文化的传承普及工作，组织开展国家级、省级、市级非物质文化遗产代表项目及其传承人的申报、评审工作。组织协调全县性文化遗产展示活动。</w:t>
      </w:r>
    </w:p>
    <w:p>
      <w:pPr>
        <w:spacing w:line="520" w:lineRule="exact"/>
        <w:ind w:firstLine="640"/>
        <w:rPr>
          <w:rFonts w:hint="eastAsia" w:ascii="仿宋" w:hAnsi="仿宋" w:eastAsia="仿宋"/>
          <w:sz w:val="32"/>
        </w:rPr>
      </w:pPr>
      <w:r>
        <w:rPr>
          <w:rFonts w:hint="eastAsia" w:ascii="仿宋" w:hAnsi="仿宋" w:eastAsia="仿宋"/>
          <w:sz w:val="32"/>
        </w:rPr>
        <w:t>（8）统筹规划全县文化、旅游、广播电视、体育产业，组织实施本行业资源普查、挖掘、保护和利用工作，拟定文化、旅游、广播电视、体育、文物行业政府性投资项目和财政性资金分配方案，促进文化、旅游、广播电视、体育、文物事业、产业发展。</w:t>
      </w:r>
    </w:p>
    <w:p>
      <w:pPr>
        <w:spacing w:line="520" w:lineRule="exact"/>
        <w:ind w:firstLine="640"/>
        <w:rPr>
          <w:rFonts w:hint="eastAsia" w:ascii="仿宋" w:hAnsi="仿宋" w:eastAsia="仿宋"/>
          <w:sz w:val="32"/>
        </w:rPr>
      </w:pPr>
      <w:r>
        <w:rPr>
          <w:rFonts w:hint="eastAsia" w:ascii="仿宋" w:hAnsi="仿宋" w:eastAsia="仿宋"/>
          <w:sz w:val="32"/>
        </w:rPr>
        <w:t>（9）拟订全县国际旅游市场开发规划，组织全县旅游形象的对外宣传和重大推广活动；拟订我县开拓文化、旅游、广播电视、体育、文物市场的措施并指导实施；协调和指导全县假日旅游和红色旅游工作；负责县内旅行社设立资料的初审和报批；依规对旅行社、旅游饭店、乡村旅游区等实施许可监督管理，负责监测全县文化、旅游、广播电视、体育经济运行和全县文化、旅游、广播电视、体育、文物统计及行业信息发布。  </w:t>
      </w:r>
    </w:p>
    <w:p>
      <w:pPr>
        <w:spacing w:line="520" w:lineRule="exact"/>
        <w:ind w:firstLine="640"/>
        <w:rPr>
          <w:rFonts w:hint="eastAsia" w:ascii="仿宋" w:hAnsi="仿宋" w:eastAsia="仿宋"/>
          <w:sz w:val="32"/>
        </w:rPr>
      </w:pPr>
      <w:r>
        <w:rPr>
          <w:rFonts w:hint="eastAsia" w:ascii="仿宋" w:hAnsi="仿宋" w:eastAsia="仿宋"/>
          <w:sz w:val="32"/>
        </w:rPr>
        <w:t>（10）负责全县广播电视安全播出应急体系建设，监督管理全县广播电视机构、广播电视节目的内容和质量；监督管理全县公共视听载体播放的广播电视节目，组织指导查处重大违法违规行为；负责卫星电视监督管理工作。</w:t>
      </w:r>
    </w:p>
    <w:p>
      <w:pPr>
        <w:spacing w:line="520" w:lineRule="exact"/>
        <w:ind w:firstLine="640"/>
        <w:rPr>
          <w:rFonts w:hint="eastAsia" w:ascii="仿宋" w:hAnsi="仿宋" w:eastAsia="仿宋"/>
          <w:sz w:val="32"/>
        </w:rPr>
      </w:pPr>
      <w:r>
        <w:rPr>
          <w:rFonts w:hint="eastAsia" w:ascii="仿宋" w:hAnsi="仿宋" w:eastAsia="仿宋"/>
          <w:sz w:val="32"/>
        </w:rPr>
        <w:t>（11）负责全县文化、旅游、广播电视、体育、文物行业社会团体监督管理工作。</w:t>
      </w:r>
    </w:p>
    <w:p>
      <w:pPr>
        <w:spacing w:line="520" w:lineRule="exact"/>
        <w:ind w:firstLine="640"/>
        <w:rPr>
          <w:rFonts w:hint="eastAsia" w:ascii="仿宋" w:hAnsi="仿宋" w:eastAsia="仿宋"/>
          <w:sz w:val="32"/>
        </w:rPr>
      </w:pPr>
      <w:r>
        <w:rPr>
          <w:rFonts w:hint="eastAsia" w:ascii="仿宋" w:hAnsi="仿宋" w:eastAsia="仿宋"/>
          <w:sz w:val="32"/>
        </w:rPr>
        <w:t>（12）统筹协调全县体育事业和竞技体育发展，组织参加和承办体育竞赛；拟定全县竞技运动项目设置与重点布局；指导和推进青少年体育工作，加强体育后备人才建设。</w:t>
      </w:r>
    </w:p>
    <w:p>
      <w:pPr>
        <w:spacing w:line="520" w:lineRule="exact"/>
        <w:ind w:firstLine="640"/>
        <w:rPr>
          <w:rFonts w:hint="eastAsia" w:ascii="仿宋" w:hAnsi="仿宋" w:eastAsia="仿宋"/>
          <w:sz w:val="32"/>
        </w:rPr>
      </w:pPr>
      <w:r>
        <w:rPr>
          <w:rFonts w:hint="eastAsia" w:ascii="仿宋" w:hAnsi="仿宋" w:eastAsia="仿宋"/>
          <w:sz w:val="32"/>
        </w:rPr>
        <w:t>（13）推行全民健身计划，实施国家体育锻炼标准，负责开展国民体质监测；指导、协调、组织群众性体育活动的开展，负责社会体育指导工作队伍建设；负责公共体育设施的监督管理；负责全县体育彩票发行和管理工作。</w:t>
      </w:r>
    </w:p>
    <w:p>
      <w:pPr>
        <w:spacing w:line="520" w:lineRule="exact"/>
        <w:ind w:firstLine="640"/>
        <w:rPr>
          <w:rFonts w:hint="eastAsia" w:ascii="仿宋" w:hAnsi="仿宋" w:eastAsia="仿宋"/>
          <w:sz w:val="32"/>
        </w:rPr>
      </w:pPr>
      <w:r>
        <w:rPr>
          <w:rFonts w:hint="eastAsia" w:ascii="仿宋" w:hAnsi="仿宋" w:eastAsia="仿宋"/>
          <w:sz w:val="32"/>
        </w:rPr>
        <w:t>（14）协调全县公益性文化体育设施的免费开放和公共服务工作。</w:t>
      </w:r>
    </w:p>
    <w:p>
      <w:pPr>
        <w:spacing w:line="520" w:lineRule="exact"/>
        <w:ind w:firstLine="640"/>
        <w:rPr>
          <w:rFonts w:hint="eastAsia" w:ascii="仿宋" w:hAnsi="仿宋" w:eastAsia="仿宋"/>
          <w:sz w:val="32"/>
        </w:rPr>
      </w:pPr>
      <w:r>
        <w:rPr>
          <w:rFonts w:hint="eastAsia" w:ascii="仿宋" w:hAnsi="仿宋" w:eastAsia="仿宋"/>
          <w:sz w:val="32"/>
        </w:rPr>
        <w:t>（15）承办县委县政府交办的其他事项。</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sz w:val="32"/>
          <w:lang w:eastAsia="zh-CN"/>
        </w:rPr>
      </w:pPr>
      <w:r>
        <w:rPr>
          <w:rFonts w:hint="eastAsia" w:ascii="仿宋" w:hAnsi="仿宋" w:eastAsia="仿宋"/>
          <w:sz w:val="32"/>
        </w:rPr>
        <w:t>2．机构情况</w:t>
      </w:r>
      <w:r>
        <w:rPr>
          <w:rFonts w:hint="eastAsia" w:ascii="仿宋" w:hAnsi="仿宋" w:eastAsia="仿宋"/>
          <w:sz w:val="32"/>
          <w:lang w:eastAsia="zh-CN"/>
        </w:rPr>
        <w:t>。</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Times New Roman"/>
          <w:kern w:val="2"/>
          <w:sz w:val="32"/>
          <w:szCs w:val="22"/>
          <w:lang w:eastAsia="zh-CN"/>
        </w:rPr>
      </w:pPr>
      <w:r>
        <w:rPr>
          <w:rFonts w:hint="eastAsia" w:ascii="仿宋" w:hAnsi="仿宋" w:eastAsia="仿宋" w:cs="Times New Roman"/>
          <w:kern w:val="2"/>
          <w:sz w:val="32"/>
          <w:szCs w:val="22"/>
        </w:rPr>
        <w:t>双牌县文化旅游</w:t>
      </w:r>
      <w:r>
        <w:rPr>
          <w:rFonts w:hint="eastAsia" w:ascii="仿宋" w:hAnsi="仿宋" w:eastAsia="仿宋" w:cs="Times New Roman"/>
          <w:kern w:val="2"/>
          <w:sz w:val="32"/>
          <w:szCs w:val="22"/>
          <w:lang w:eastAsia="zh-CN"/>
        </w:rPr>
        <w:t>广播电视</w:t>
      </w:r>
      <w:r>
        <w:rPr>
          <w:rFonts w:hint="eastAsia" w:ascii="仿宋" w:hAnsi="仿宋" w:eastAsia="仿宋" w:cs="Times New Roman"/>
          <w:kern w:val="2"/>
          <w:sz w:val="32"/>
          <w:szCs w:val="22"/>
        </w:rPr>
        <w:t>体育局(加挂双牌县文物局牌子)于</w:t>
      </w:r>
      <w:r>
        <w:rPr>
          <w:rFonts w:hint="eastAsia" w:ascii="仿宋" w:hAnsi="仿宋" w:eastAsia="仿宋" w:cs="Times New Roman"/>
          <w:kern w:val="2"/>
          <w:sz w:val="32"/>
          <w:szCs w:val="22"/>
          <w:lang w:eastAsia="zh-CN"/>
        </w:rPr>
        <w:t>2020年</w:t>
      </w:r>
      <w:r>
        <w:rPr>
          <w:rFonts w:hint="eastAsia" w:ascii="仿宋" w:hAnsi="仿宋" w:eastAsia="仿宋" w:cs="Times New Roman"/>
          <w:kern w:val="2"/>
          <w:sz w:val="32"/>
          <w:szCs w:val="22"/>
        </w:rPr>
        <w:t>3月机构改革整合设立，为政府组成部门。局机关核定编制5人（其中行政编制4人），领导职数为1正4副，局机关实有在职员工</w:t>
      </w:r>
      <w:r>
        <w:rPr>
          <w:rFonts w:hint="eastAsia" w:ascii="仿宋" w:hAnsi="仿宋" w:eastAsia="仿宋" w:cs="Times New Roman"/>
          <w:kern w:val="2"/>
          <w:sz w:val="32"/>
          <w:szCs w:val="22"/>
          <w:lang w:val="en-US" w:eastAsia="zh-CN"/>
        </w:rPr>
        <w:t>9</w:t>
      </w:r>
      <w:r>
        <w:rPr>
          <w:rFonts w:hint="eastAsia" w:ascii="仿宋" w:hAnsi="仿宋" w:eastAsia="仿宋" w:cs="Times New Roman"/>
          <w:kern w:val="2"/>
          <w:sz w:val="32"/>
          <w:szCs w:val="22"/>
        </w:rPr>
        <w:t>人、文物所在职人员</w:t>
      </w:r>
      <w:r>
        <w:rPr>
          <w:rFonts w:hint="eastAsia" w:ascii="仿宋" w:hAnsi="仿宋" w:eastAsia="仿宋" w:cs="Times New Roman"/>
          <w:kern w:val="2"/>
          <w:sz w:val="32"/>
          <w:szCs w:val="22"/>
          <w:lang w:val="en-US" w:eastAsia="zh-CN"/>
        </w:rPr>
        <w:t>5</w:t>
      </w:r>
      <w:r>
        <w:rPr>
          <w:rFonts w:hint="eastAsia" w:ascii="仿宋" w:hAnsi="仿宋" w:eastAsia="仿宋" w:cs="Times New Roman"/>
          <w:kern w:val="2"/>
          <w:sz w:val="32"/>
          <w:szCs w:val="22"/>
        </w:rPr>
        <w:t>人、</w:t>
      </w:r>
      <w:r>
        <w:rPr>
          <w:rFonts w:hint="eastAsia" w:ascii="仿宋" w:hAnsi="仿宋" w:eastAsia="仿宋" w:cs="Times New Roman"/>
          <w:kern w:val="2"/>
          <w:sz w:val="32"/>
          <w:szCs w:val="22"/>
          <w:lang w:val="en-US" w:eastAsia="zh-CN"/>
        </w:rPr>
        <w:t>美术馆在职人员2人，</w:t>
      </w:r>
      <w:r>
        <w:rPr>
          <w:rFonts w:hint="eastAsia" w:ascii="仿宋" w:hAnsi="仿宋" w:eastAsia="仿宋" w:cs="Times New Roman"/>
          <w:kern w:val="2"/>
          <w:sz w:val="32"/>
          <w:szCs w:val="22"/>
        </w:rPr>
        <w:t>退休人员</w:t>
      </w:r>
      <w:r>
        <w:rPr>
          <w:rFonts w:hint="eastAsia" w:ascii="仿宋" w:hAnsi="仿宋" w:eastAsia="仿宋" w:cs="Times New Roman"/>
          <w:kern w:val="2"/>
          <w:sz w:val="32"/>
          <w:szCs w:val="22"/>
          <w:lang w:val="en-US" w:eastAsia="zh-CN"/>
        </w:rPr>
        <w:t>8</w:t>
      </w:r>
      <w:r>
        <w:rPr>
          <w:rFonts w:hint="eastAsia" w:ascii="仿宋" w:hAnsi="仿宋" w:eastAsia="仿宋" w:cs="Times New Roman"/>
          <w:kern w:val="2"/>
          <w:sz w:val="32"/>
          <w:szCs w:val="22"/>
        </w:rPr>
        <w:t>人。我局内设5个股室，分别是办公室（政工股、纪检督察室）、艺术非遗股、旅游管理股、</w:t>
      </w:r>
      <w:r>
        <w:rPr>
          <w:rFonts w:hint="eastAsia" w:ascii="仿宋" w:hAnsi="仿宋" w:eastAsia="仿宋" w:cs="Times New Roman"/>
          <w:kern w:val="2"/>
          <w:sz w:val="32"/>
          <w:szCs w:val="22"/>
          <w:lang w:eastAsia="zh-CN"/>
        </w:rPr>
        <w:t>广播电视</w:t>
      </w:r>
      <w:r>
        <w:rPr>
          <w:rFonts w:hint="eastAsia" w:ascii="仿宋" w:hAnsi="仿宋" w:eastAsia="仿宋" w:cs="Times New Roman"/>
          <w:kern w:val="2"/>
          <w:sz w:val="32"/>
          <w:szCs w:val="22"/>
        </w:rPr>
        <w:t>体育股、市场监管股（行政审批股、法制股、执法监督管理股）、文物文产股</w:t>
      </w:r>
      <w:r>
        <w:rPr>
          <w:rFonts w:hint="eastAsia" w:ascii="仿宋" w:hAnsi="仿宋" w:eastAsia="仿宋" w:cs="Times New Roman"/>
          <w:kern w:val="2"/>
          <w:sz w:val="32"/>
          <w:szCs w:val="22"/>
          <w:lang w:eastAsia="zh-CN"/>
        </w:rPr>
        <w:t>。</w:t>
      </w:r>
    </w:p>
    <w:p>
      <w:pPr>
        <w:pStyle w:val="10"/>
        <w:rPr>
          <w:rFonts w:hint="default"/>
          <w:lang w:val="en-US"/>
        </w:rPr>
      </w:pPr>
      <w:r>
        <w:rPr>
          <w:rFonts w:hint="eastAsia" w:ascii="仿宋" w:hAnsi="仿宋" w:eastAsia="仿宋"/>
          <w:sz w:val="32"/>
        </w:rPr>
        <w:t>3．人员情况。20</w:t>
      </w:r>
      <w:r>
        <w:rPr>
          <w:rFonts w:hint="eastAsia" w:ascii="仿宋" w:hAnsi="仿宋" w:eastAsia="仿宋"/>
          <w:sz w:val="32"/>
          <w:lang w:val="en-US" w:eastAsia="zh-CN"/>
        </w:rPr>
        <w:t>24</w:t>
      </w:r>
      <w:r>
        <w:rPr>
          <w:rFonts w:hint="eastAsia" w:ascii="仿宋" w:hAnsi="仿宋" w:eastAsia="仿宋"/>
          <w:sz w:val="32"/>
        </w:rPr>
        <w:t>年本单位年</w:t>
      </w:r>
      <w:r>
        <w:rPr>
          <w:rFonts w:hint="eastAsia" w:ascii="仿宋" w:hAnsi="仿宋" w:eastAsia="仿宋"/>
          <w:sz w:val="32"/>
          <w:lang w:val="en-US" w:eastAsia="zh-CN"/>
        </w:rPr>
        <w:t>末</w:t>
      </w:r>
      <w:r>
        <w:rPr>
          <w:rFonts w:hint="eastAsia" w:ascii="仿宋" w:hAnsi="仿宋" w:eastAsia="仿宋"/>
          <w:sz w:val="32"/>
        </w:rPr>
        <w:t>实有人数</w:t>
      </w:r>
      <w:r>
        <w:rPr>
          <w:rFonts w:hint="eastAsia" w:ascii="仿宋" w:hAnsi="仿宋" w:eastAsia="仿宋"/>
          <w:sz w:val="28"/>
          <w:lang w:val="en-US" w:eastAsia="zh-CN"/>
        </w:rPr>
        <w:t>18</w:t>
      </w:r>
      <w:r>
        <w:rPr>
          <w:rFonts w:hint="eastAsia" w:ascii="仿宋" w:hAnsi="仿宋" w:eastAsia="仿宋"/>
          <w:sz w:val="32"/>
        </w:rPr>
        <w:t>人，比上年</w:t>
      </w:r>
      <w:r>
        <w:rPr>
          <w:rFonts w:hint="eastAsia" w:ascii="仿宋" w:hAnsi="仿宋" w:eastAsia="仿宋"/>
          <w:sz w:val="32"/>
          <w:lang w:val="en-US" w:eastAsia="zh-CN"/>
        </w:rPr>
        <w:t>减少2</w:t>
      </w:r>
      <w:r>
        <w:rPr>
          <w:rFonts w:hint="eastAsia" w:ascii="仿宋" w:hAnsi="仿宋" w:eastAsia="仿宋"/>
          <w:sz w:val="32"/>
          <w:lang w:val="en-US"/>
        </w:rPr>
        <w:t>人。人员变化的主要原因是：</w:t>
      </w:r>
      <w:r>
        <w:rPr>
          <w:rFonts w:hint="eastAsia" w:ascii="仿宋" w:hAnsi="仿宋" w:eastAsia="仿宋"/>
          <w:sz w:val="32"/>
          <w:lang w:val="en-US" w:eastAsia="zh-CN"/>
        </w:rPr>
        <w:t>人员调动。</w:t>
      </w:r>
    </w:p>
    <w:p>
      <w:pPr>
        <w:pStyle w:val="2"/>
        <w:framePr/>
        <w:numPr>
          <w:ilvl w:val="0"/>
          <w:numId w:val="0"/>
        </w:numPr>
        <w:rPr>
          <w:rFonts w:hint="eastAsia"/>
        </w:rPr>
      </w:pPr>
    </w:p>
    <w:p>
      <w:pPr>
        <w:pStyle w:val="9"/>
        <w:spacing w:beforeLines="0" w:afterLines="0" w:line="570" w:lineRule="exact"/>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widowControl/>
        <w:spacing w:line="600" w:lineRule="exact"/>
        <w:ind w:firstLine="643"/>
        <w:rPr>
          <w:rFonts w:hint="default" w:ascii="Times New Roman" w:hAnsi="Times New Roman" w:eastAsia="仿宋_GB2312" w:cs="Times New Roman"/>
          <w:b/>
          <w:sz w:val="32"/>
          <w:szCs w:val="32"/>
          <w:lang w:val="en-US" w:eastAsia="zh-CN"/>
        </w:rPr>
      </w:pPr>
      <w:r>
        <w:rPr>
          <w:rFonts w:hint="eastAsia" w:ascii="仿宋_GB2312" w:hAnsi="仿宋" w:eastAsia="仿宋_GB2312" w:cs="仿宋"/>
          <w:color w:val="000000"/>
          <w:sz w:val="32"/>
          <w:szCs w:val="32"/>
        </w:rPr>
        <w:t>单位本年度实际收到的财政拨款收入</w:t>
      </w:r>
      <w:r>
        <w:rPr>
          <w:rFonts w:hint="eastAsia" w:ascii="仿宋_GB2312" w:eastAsia="仿宋_GB2312" w:cs="Times New Roman"/>
          <w:color w:val="000000"/>
          <w:sz w:val="32"/>
          <w:szCs w:val="32"/>
          <w:u w:val="single"/>
        </w:rPr>
        <w:t> </w:t>
      </w:r>
      <w:r>
        <w:rPr>
          <w:rFonts w:hint="eastAsia" w:ascii="仿宋_GB2312" w:hAnsi="仿宋" w:eastAsia="仿宋_GB2312" w:cs="仿宋"/>
          <w:color w:val="000000"/>
          <w:sz w:val="32"/>
          <w:szCs w:val="32"/>
          <w:u w:val="single"/>
          <w:lang w:val="en-US" w:eastAsia="zh-CN"/>
        </w:rPr>
        <w:t>5901.8</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rPr>
        <w:t> </w:t>
      </w:r>
      <w:r>
        <w:rPr>
          <w:rFonts w:hint="eastAsia" w:ascii="仿宋_GB2312" w:hAnsi="仿宋" w:eastAsia="仿宋_GB2312" w:cs="仿宋"/>
          <w:color w:val="000000"/>
          <w:sz w:val="32"/>
          <w:szCs w:val="32"/>
          <w:u w:val="single"/>
          <w:lang w:val="en-US" w:eastAsia="zh-CN"/>
        </w:rPr>
        <w:t>5901.8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其中基本支出261.1408万，占</w:t>
      </w:r>
      <w:r>
        <w:rPr>
          <w:rFonts w:hint="default" w:ascii="仿宋" w:hAnsi="仿宋" w:eastAsia="仿宋"/>
          <w:sz w:val="32"/>
          <w:lang w:val="en-US"/>
        </w:rPr>
        <w:t>总支出的</w:t>
      </w:r>
      <w:r>
        <w:rPr>
          <w:rFonts w:hint="eastAsia" w:ascii="仿宋" w:hAnsi="仿宋" w:eastAsia="仿宋"/>
          <w:sz w:val="32"/>
          <w:szCs w:val="22"/>
          <w:lang w:val="en-US" w:eastAsia="zh-CN"/>
        </w:rPr>
        <w:t>4.42%。</w:t>
      </w:r>
    </w:p>
    <w:p>
      <w:pPr>
        <w:pStyle w:val="9"/>
        <w:numPr>
          <w:ilvl w:val="0"/>
          <w:numId w:val="2"/>
        </w:numPr>
        <w:spacing w:beforeLines="0" w:afterLines="0" w:line="570" w:lineRule="exact"/>
        <w:ind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9"/>
        <w:numPr>
          <w:ilvl w:val="0"/>
          <w:numId w:val="0"/>
        </w:numPr>
        <w:spacing w:beforeLines="0" w:afterLines="0" w:line="570" w:lineRule="exact"/>
        <w:ind w:firstLine="640" w:firstLineChars="200"/>
        <w:outlineLvl w:val="1"/>
        <w:rPr>
          <w:rFonts w:hint="eastAsia" w:ascii="Times New Roman" w:hAnsi="Times New Roman" w:eastAsia="仿宋_GB2312"/>
          <w:sz w:val="32"/>
          <w:szCs w:val="24"/>
        </w:rPr>
      </w:pPr>
      <w:r>
        <w:rPr>
          <w:rFonts w:hint="eastAsia" w:ascii="仿宋_GB2312" w:hAnsi="仿宋" w:eastAsia="仿宋_GB2312" w:cs="仿宋"/>
          <w:color w:val="000000"/>
          <w:sz w:val="32"/>
          <w:szCs w:val="32"/>
        </w:rPr>
        <w:t>单位本年度实际收到的财政拨款收入</w:t>
      </w:r>
      <w:r>
        <w:rPr>
          <w:rFonts w:hint="eastAsia" w:ascii="仿宋_GB2312" w:hAnsi="仿宋" w:eastAsia="仿宋_GB2312" w:cs="仿宋"/>
          <w:color w:val="000000"/>
          <w:sz w:val="32"/>
          <w:szCs w:val="32"/>
          <w:u w:val="single"/>
          <w:lang w:val="en-US" w:eastAsia="zh-CN"/>
        </w:rPr>
        <w:t>5901.8</w:t>
      </w:r>
      <w:r>
        <w:rPr>
          <w:rFonts w:hint="eastAsia" w:ascii="仿宋_GB2312" w:hAnsi="仿宋" w:eastAsia="仿宋_GB2312" w:cs="仿宋"/>
          <w:color w:val="000000"/>
          <w:sz w:val="32"/>
          <w:szCs w:val="32"/>
        </w:rPr>
        <w:t>万元，财政部门拨款对账单</w:t>
      </w:r>
      <w:r>
        <w:rPr>
          <w:rFonts w:hint="eastAsia" w:ascii="仿宋_GB2312" w:hAnsi="仿宋" w:eastAsia="仿宋_GB2312" w:cs="仿宋"/>
          <w:color w:val="000000"/>
          <w:sz w:val="32"/>
          <w:szCs w:val="32"/>
          <w:u w:val="single"/>
          <w:lang w:val="en-US" w:eastAsia="zh-CN"/>
        </w:rPr>
        <w:t>5901.8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项目支出5640.6955万，占</w:t>
      </w:r>
      <w:r>
        <w:rPr>
          <w:rFonts w:hint="default" w:ascii="仿宋" w:hAnsi="仿宋" w:eastAsia="仿宋"/>
          <w:sz w:val="32"/>
          <w:lang w:val="en-US"/>
        </w:rPr>
        <w:t>总支出的</w:t>
      </w:r>
      <w:r>
        <w:rPr>
          <w:rFonts w:hint="eastAsia" w:ascii="仿宋" w:hAnsi="仿宋" w:eastAsia="仿宋"/>
          <w:sz w:val="32"/>
          <w:lang w:val="en-US" w:eastAsia="zh-CN"/>
        </w:rPr>
        <w:t>95.57%。</w:t>
      </w:r>
    </w:p>
    <w:p>
      <w:pPr>
        <w:pStyle w:val="9"/>
        <w:numPr>
          <w:ilvl w:val="0"/>
          <w:numId w:val="0"/>
        </w:numPr>
        <w:spacing w:beforeLines="0" w:afterLines="0" w:line="570" w:lineRule="exact"/>
        <w:ind w:left="640" w:leftChars="0"/>
        <w:jc w:val="left"/>
        <w:outlineLvl w:val="0"/>
        <w:rPr>
          <w:rFonts w:hint="default" w:ascii="Times New Roman" w:hAnsi="Times New Roman" w:eastAsia="黑体" w:cs="Times New Roman"/>
          <w:sz w:val="32"/>
          <w:szCs w:val="32"/>
        </w:rPr>
      </w:pPr>
      <w:r>
        <w:rPr>
          <w:rFonts w:hint="eastAsia" w:ascii="Times New Roman" w:hAnsi="Times New Roman" w:eastAsia="黑体"/>
          <w:sz w:val="32"/>
          <w:szCs w:val="24"/>
          <w:lang w:val="en-US" w:eastAsia="zh-CN"/>
        </w:rPr>
        <w:t>三、</w:t>
      </w:r>
      <w:r>
        <w:rPr>
          <w:rFonts w:hint="eastAsia" w:ascii="Times New Roman" w:hAnsi="Times New Roman" w:eastAsia="黑体"/>
          <w:sz w:val="32"/>
          <w:szCs w:val="24"/>
        </w:rPr>
        <w:t>政府性基金预算支出情况。</w:t>
      </w:r>
    </w:p>
    <w:tbl>
      <w:tblPr>
        <w:tblStyle w:val="6"/>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51"/>
        <w:gridCol w:w="700"/>
        <w:gridCol w:w="1404"/>
        <w:gridCol w:w="1404"/>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429"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r>
    </w:tbl>
    <w:p>
      <w:pPr>
        <w:pStyle w:val="9"/>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lang w:eastAsia="zh-CN"/>
        </w:rPr>
      </w:pPr>
    </w:p>
    <w:p>
      <w:pPr>
        <w:pStyle w:val="9"/>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Times New Roman" w:hAnsi="Times New Roman" w:eastAsia="黑体"/>
          <w:sz w:val="32"/>
          <w:szCs w:val="24"/>
          <w:lang w:val="en-US" w:eastAsia="zh-CN"/>
        </w:rPr>
        <w:t>四、</w:t>
      </w:r>
      <w:r>
        <w:rPr>
          <w:rFonts w:hint="eastAsia" w:ascii="Times New Roman" w:hAnsi="Times New Roman" w:eastAsia="黑体"/>
          <w:sz w:val="32"/>
          <w:szCs w:val="24"/>
        </w:rPr>
        <w:t>国有资本经营预算支出情况。</w:t>
      </w:r>
    </w:p>
    <w:p>
      <w:pPr>
        <w:pStyle w:val="9"/>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五、</w:t>
      </w:r>
      <w:r>
        <w:rPr>
          <w:rFonts w:hint="eastAsia" w:ascii="Times New Roman" w:hAnsi="Times New Roman" w:eastAsia="黑体"/>
          <w:sz w:val="32"/>
          <w:szCs w:val="24"/>
        </w:rPr>
        <w:t>社会保险基金预算支出情况。</w:t>
      </w:r>
    </w:p>
    <w:p>
      <w:pPr>
        <w:pStyle w:val="9"/>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eastAsia" w:eastAsia="黑体"/>
          <w:sz w:val="32"/>
          <w:szCs w:val="24"/>
        </w:rPr>
      </w:pPr>
      <w:r>
        <w:rPr>
          <w:rFonts w:hint="eastAsia" w:eastAsia="黑体"/>
          <w:sz w:val="32"/>
          <w:szCs w:val="24"/>
          <w:lang w:val="en-US" w:eastAsia="zh-CN"/>
        </w:rPr>
        <w:t>六</w:t>
      </w:r>
      <w:r>
        <w:rPr>
          <w:rFonts w:hint="eastAsia" w:eastAsia="黑体"/>
          <w:sz w:val="32"/>
          <w:szCs w:val="24"/>
        </w:rPr>
        <w:t>、部门整体支出绩效情况</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(一)经济效益评价</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1、本年预算配置控制较好，纯公益性人员控制在预算编制以内,编制内在职人员控制率为78.26%，小于100%。“三公”经费预算总额严格控制在预算指标内,与上年相比多开支5.3032万元</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2、预算执行方面，一般公共预算财政性支出总额控制基本在预算总额内，本年度“三公”经费财政策性支出总体控制较好，公务接待费因上年度费用在本年度支出，导致本年度公务接待费出较上年增加，无公务用车运行维护费支出。</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3、预算管理方面,各项管理制度执行总体较为有效,需进一步强化，资金的使用和管理需进一步加强。</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4、固有资产管理方面，建立了固定资产管理制度,定期进行了资产盘点和资产清理，总体执行较好。</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(二)效率性评价和有效性评价</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我局一般公共财政预算安排的基本支出基本保障了我局正常的工作运转，体现了县财政对我单位的关心和重视。财政性预算安排是非常必要的，我局在预算执行上严格遵守各项财政性法规严守财政纪律，在资金使用和管理上，严守法律、纪律和道德三条底线。</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一是狠抓资金使用效益。表现在:一是保障了职工工资，绩效工资、津补贴的及时足额发放，没有出现拖欠职工工资，离退休费用及生活费等现象;二是保障了单位的正常运转，各项工作开展顺利，文旅相关的各项指标得到了增长:三是财政供养人员控制较好:四是资金管理使用较规范,无虚列支出及随意使用现象，无大额现金支付现象。</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二是加大文旅相关项目运行。2024年我局完成了三馆免费开放6.4万元，旅游景区森林防火和野生动物保护宣传2万元，"第五次全国经济普查“文旅企业清查及登记工作5万元，“中国最佳生态康养旅游名县”和“中国最佳全域旅游休闲目的地”申报6万元，文旅产品策划推广22.76万元，国家公共文化服务示范区创新发展复核工作20万元，双牌县围棋协会成立大会及相关赛事举办5万元，应急广播体系建设项目部分建设180万元，象文化项目打造20万元，双牌县青龙洞景区基础设施建设项目5100万元。</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三是文保工作正常开展。顺利开展全国第四次不可移动文物普查事项，同时对全县的重点文物保护点进行了维护保养，修缮了省保单位卢氏公祠，项目总金额229.1万元，项目已经完成。</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四是完善财务管理制度。根据本单位的工作实际，在建立并实施内部监管和控制制度过程中。</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五是资金效率性较高。用有限的资金全力保障了我县文旅项目得以正常开展。绩效考核指标基本完成。</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六是加强国有资产动态管理。根据县国资委安排对固定资产进行动态管理，并对资产进行清理和盘查，实现资产管理常态化和正规化，使资产帐、卡、实、物相符,有效地提高了固定资产利用率,发挥固定资产最大效率。</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七是完成政府性重点工作。根据县委县政府经济工作会议精神，完成了双牌县青龙洞景区基础设施建设项目资金5100万元。</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(三)社会公众满意度评价</w:t>
      </w:r>
    </w:p>
    <w:p>
      <w:pPr>
        <w:pStyle w:val="2"/>
        <w:framePr w:y="2006"/>
        <w:rPr>
          <w:rFonts w:hint="eastAsia"/>
        </w:rPr>
      </w:pP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我局干部职工在县委县政府正确领导下，认真贯彻落实党的大精神，勤奋工作，提高办事效率，办事程序公开,预算信息公开,办事时间缩短，社会和谐稳定，人民安居乐业，群众满意度达到95%。</w:t>
      </w:r>
    </w:p>
    <w:p>
      <w:pPr>
        <w:pStyle w:val="9"/>
        <w:widowControl/>
        <w:spacing w:line="60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widowControl/>
        <w:spacing w:line="600" w:lineRule="exact"/>
        <w:ind w:firstLine="640" w:firstLineChars="200"/>
        <w:jc w:val="left"/>
        <w:rPr>
          <w:rFonts w:hint="eastAsia" w:eastAsia="仿宋_GB2312" w:cs="Times New Roman"/>
          <w:sz w:val="32"/>
          <w:szCs w:val="32"/>
          <w:lang w:val="en-US" w:eastAsia="zh-CN"/>
        </w:rPr>
      </w:pPr>
      <w:r>
        <w:rPr>
          <w:rFonts w:hint="eastAsia" w:eastAsia="仿宋_GB2312" w:cs="Times New Roman"/>
          <w:sz w:val="32"/>
          <w:szCs w:val="32"/>
          <w:lang w:val="en-US" w:eastAsia="zh-CN"/>
        </w:rPr>
        <w:t>本单位严重缺乏专业财务人员，对财政相关规定和业务不够熟练。</w:t>
      </w:r>
    </w:p>
    <w:p>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widowControl/>
        <w:numPr>
          <w:ilvl w:val="0"/>
          <w:numId w:val="0"/>
        </w:numPr>
        <w:spacing w:line="600" w:lineRule="exact"/>
        <w:ind w:firstLine="640" w:firstLineChars="200"/>
        <w:jc w:val="left"/>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补充1名财务人员:对财务人员定期进行培训，提高财务人员的业务能力。</w:t>
      </w:r>
    </w:p>
    <w:p>
      <w:pPr>
        <w:widowControl/>
        <w:numPr>
          <w:ilvl w:val="0"/>
          <w:numId w:val="0"/>
        </w:numPr>
        <w:spacing w:line="600" w:lineRule="exact"/>
        <w:ind w:firstLine="640" w:firstLineChars="200"/>
        <w:jc w:val="left"/>
        <w:rPr>
          <w:rFonts w:hint="eastAsia" w:ascii="仿宋" w:hAnsi="仿宋" w:eastAsia="仿宋" w:cs="Times New Roman"/>
          <w:kern w:val="2"/>
          <w:sz w:val="32"/>
          <w:szCs w:val="22"/>
          <w:lang w:val="en-US" w:eastAsia="zh-CN" w:bidi="ar-SA"/>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部门整体支出绩效自评结果拟应用和公开情况</w:t>
      </w:r>
    </w:p>
    <w:p>
      <w:pPr>
        <w:widowControl/>
        <w:spacing w:line="600" w:lineRule="exact"/>
        <w:ind w:firstLine="640" w:firstLineChars="200"/>
        <w:jc w:val="left"/>
        <w:rPr>
          <w:rFonts w:hint="default" w:ascii="Times New Roman" w:hAnsi="Times New Roman" w:eastAsia="黑体" w:cs="Times New Roman"/>
          <w:sz w:val="32"/>
          <w:szCs w:val="32"/>
        </w:rPr>
      </w:pPr>
      <w:r>
        <w:rPr>
          <w:rFonts w:hint="eastAsia" w:ascii="仿宋" w:hAnsi="仿宋" w:eastAsia="仿宋" w:cs="Times New Roman"/>
          <w:kern w:val="2"/>
          <w:sz w:val="32"/>
          <w:szCs w:val="22"/>
          <w:lang w:val="en-US" w:eastAsia="zh-CN" w:bidi="ar-SA"/>
        </w:rPr>
        <w:t>已公开</w:t>
      </w:r>
    </w:p>
    <w:p>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widowControl/>
        <w:spacing w:line="600" w:lineRule="exact"/>
        <w:ind w:firstLine="645"/>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widowControl/>
        <w:spacing w:line="600" w:lineRule="exact"/>
        <w:ind w:firstLine="645"/>
        <w:jc w:val="left"/>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78.26%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500.723616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261.198814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261.140868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35.864013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84.918814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84.870868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aps w:val="0"/>
                <w:color w:val="606266"/>
                <w:spacing w:val="0"/>
                <w:kern w:val="0"/>
                <w:sz w:val="21"/>
                <w:szCs w:val="21"/>
                <w:lang w:val="en-US" w:eastAsia="zh-CN" w:bidi="ar"/>
              </w:rPr>
              <w:t>2</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4902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aps w:val="0"/>
                <w:color w:val="606266"/>
                <w:spacing w:val="0"/>
                <w:kern w:val="0"/>
                <w:sz w:val="21"/>
                <w:szCs w:val="21"/>
                <w:lang w:val="en-US" w:eastAsia="zh-CN" w:bidi="ar"/>
              </w:rPr>
              <w:t>7</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aps w:val="0"/>
                <w:color w:val="606266"/>
                <w:spacing w:val="0"/>
                <w:kern w:val="0"/>
                <w:sz w:val="21"/>
                <w:szCs w:val="21"/>
                <w:lang w:val="en-US" w:eastAsia="zh-CN" w:bidi="ar"/>
              </w:rPr>
              <w:t>7</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7934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微软雅黑" w:hAnsi="微软雅黑" w:eastAsia="微软雅黑" w:cs="微软雅黑"/>
                <w:i w:val="0"/>
                <w:iCs w:val="0"/>
                <w:caps w:val="0"/>
                <w:color w:val="606266"/>
                <w:spacing w:val="0"/>
                <w:kern w:val="0"/>
                <w:sz w:val="21"/>
                <w:szCs w:val="21"/>
                <w:lang w:val="en-US" w:eastAsia="zh-CN" w:bidi="ar"/>
              </w:rPr>
              <w:t>2</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4902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微软雅黑" w:hAnsi="微软雅黑" w:eastAsia="微软雅黑" w:cs="微软雅黑"/>
                <w:i w:val="0"/>
                <w:iCs w:val="0"/>
                <w:caps w:val="0"/>
                <w:color w:val="606266"/>
                <w:spacing w:val="0"/>
                <w:kern w:val="0"/>
                <w:sz w:val="21"/>
                <w:szCs w:val="21"/>
                <w:lang w:val="en-US" w:eastAsia="zh-CN" w:bidi="ar"/>
              </w:rPr>
              <w:t>7</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9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微软雅黑" w:hAnsi="微软雅黑" w:eastAsia="微软雅黑" w:cs="微软雅黑"/>
                <w:i w:val="0"/>
                <w:iCs w:val="0"/>
                <w:caps w:val="0"/>
                <w:color w:val="606266"/>
                <w:spacing w:val="0"/>
                <w:kern w:val="0"/>
                <w:sz w:val="21"/>
                <w:szCs w:val="21"/>
                <w:lang w:val="en-US" w:eastAsia="zh-CN" w:bidi="ar"/>
              </w:rPr>
              <w:t>7</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7934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411.682734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5640</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5640.695501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招商引资</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4.65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4.9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公岗补助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13,445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文旅改革工作经费及脱贫县全民艺术普及、旅游普查经费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60.777587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送戏下乡、招商引资及“十四五”规划工作经费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125.433827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2021年文物保护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40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14.48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14.48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中央及地方公共文化服务资金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167.37632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前期工作经费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0.888613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0.888613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艺术团专项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执法制服购买经费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旅游景区森林防火和野生动物保护宣传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2023非税返还</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文旅改革专班工作经费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1.552408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1.552408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"第五次全国经济普查“文旅企业清查及登记工作经费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美术馆免费开放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创建国家全域旅游示范县工作经费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”中国最佳生态康养旅游名县“和”中国最佳全域旅游休闲目的地“申报经费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公共文化服务体系满意度测评</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公共文化服务资金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三馆一站免费开放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真抓实干经费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3.619373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3.619373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2021年美术馆免费开放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2021年美术馆免费开放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文旅产品策划推广经费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22.76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22.76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国家公共文化服务示范区创新发展复核工作经费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双牌县围棋协会成立大会及相关赛事所需经费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美术馆免费开放资金（中央、省级配套）</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11.938811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11.938811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文物保护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98.355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98.355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岁圆楼古建筑群保护修缮工程尾款及项目监理服务费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18.488747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18.488747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应急广播体系建设项目部分建设资金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象文化项目资金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湖南省财政厅关于提前下达2021年公共文化服务体系建设（农村文化建设）专项资金的通知</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9.025949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9.025949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2023年公共文化服务资金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中央支持地方公共文化服务体系建设绩效奖励资金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15.4366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15.4366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公共文化服务资金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双牌县青龙洞景区基础设施建设项目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5100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万巍</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15874646806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蒋艺</w:t>
      </w:r>
      <w:r>
        <w:rPr>
          <w:rFonts w:hint="default" w:eastAsia="仿宋_GB2312"/>
          <w:sz w:val="22"/>
          <w:szCs w:val="24"/>
        </w:rPr>
        <w:br w:type="page"/>
      </w:r>
    </w:p>
    <w:p/>
    <w:p/>
    <w:p>
      <w:pPr>
        <w:rPr>
          <w:rFonts w:eastAsia="黑体"/>
          <w:sz w:val="32"/>
          <w:szCs w:val="32"/>
        </w:rPr>
      </w:pPr>
      <w:r>
        <w:rPr>
          <w:rFonts w:eastAsia="黑体"/>
          <w:sz w:val="32"/>
          <w:szCs w:val="32"/>
        </w:rPr>
        <w:t>附件3</w:t>
      </w:r>
    </w:p>
    <w:p>
      <w:pPr>
        <w:jc w:val="center"/>
        <w:rPr>
          <w:rFonts w:eastAsia="方正小标宋_GBK"/>
          <w:sz w:val="32"/>
          <w:szCs w:val="32"/>
        </w:rPr>
      </w:pPr>
    </w:p>
    <w:p>
      <w:pPr>
        <w:jc w:val="center"/>
        <w:rPr>
          <w:rFonts w:eastAsia="方正小标宋_GBK"/>
          <w:sz w:val="36"/>
          <w:szCs w:val="36"/>
        </w:rPr>
      </w:pPr>
      <w:r>
        <w:rPr>
          <w:rFonts w:hint="eastAsia" w:eastAsia="方正小标宋_GBK"/>
          <w:sz w:val="36"/>
          <w:szCs w:val="36"/>
          <w:lang w:val="en-US" w:eastAsia="zh-CN"/>
        </w:rPr>
        <w:t>双牌县</w:t>
      </w:r>
      <w:r>
        <w:rPr>
          <w:rFonts w:eastAsia="方正小标宋_GBK"/>
          <w:sz w:val="36"/>
          <w:szCs w:val="36"/>
        </w:rPr>
        <w:t>公共文化服务体系建设补助资金</w:t>
      </w:r>
      <w:r>
        <w:rPr>
          <w:rFonts w:hint="eastAsia" w:eastAsia="方正小标宋_GBK"/>
          <w:sz w:val="36"/>
          <w:szCs w:val="36"/>
          <w:lang w:eastAsia="zh-CN"/>
        </w:rPr>
        <w:t>202</w:t>
      </w:r>
      <w:r>
        <w:rPr>
          <w:rFonts w:hint="eastAsia" w:eastAsia="方正小标宋_GBK"/>
          <w:sz w:val="36"/>
          <w:szCs w:val="36"/>
          <w:lang w:val="en-US" w:eastAsia="zh-CN"/>
        </w:rPr>
        <w:t>4</w:t>
      </w:r>
      <w:r>
        <w:rPr>
          <w:rFonts w:eastAsia="方正小标宋_GBK"/>
          <w:sz w:val="36"/>
          <w:szCs w:val="36"/>
        </w:rPr>
        <w:t>年度</w:t>
      </w:r>
    </w:p>
    <w:p>
      <w:pPr>
        <w:jc w:val="center"/>
        <w:rPr>
          <w:rFonts w:eastAsia="方正小标宋_GBK"/>
          <w:sz w:val="36"/>
          <w:szCs w:val="36"/>
        </w:rPr>
      </w:pPr>
      <w:r>
        <w:rPr>
          <w:rFonts w:eastAsia="方正小标宋_GBK"/>
          <w:sz w:val="36"/>
          <w:szCs w:val="36"/>
        </w:rPr>
        <w:t>绩效自评报告</w:t>
      </w:r>
    </w:p>
    <w:p>
      <w:pPr>
        <w:pStyle w:val="9"/>
        <w:numPr>
          <w:ilvl w:val="0"/>
          <w:numId w:val="0"/>
        </w:numPr>
        <w:spacing w:line="600" w:lineRule="exact"/>
        <w:ind w:firstLine="640" w:firstLineChars="200"/>
        <w:rPr>
          <w:rFonts w:eastAsia="方正小标宋_GBK"/>
          <w:sz w:val="36"/>
          <w:szCs w:val="36"/>
        </w:rPr>
      </w:pPr>
      <w:r>
        <w:rPr>
          <w:rFonts w:hint="eastAsia" w:ascii="Times New Roman" w:hAnsi="Times New Roman" w:eastAsia="仿宋_GB2312" w:cs="Times New Roman"/>
          <w:sz w:val="32"/>
          <w:szCs w:val="32"/>
          <w:lang w:val="en-US" w:eastAsia="zh-CN"/>
        </w:rPr>
        <w:t>我县采用目标预定与实施效果比较、定性与定量综合分析等评价方法，对项目的投资完成情况、项目实施情况、项目效果进行了全面的评价。</w:t>
      </w:r>
    </w:p>
    <w:p>
      <w:pPr>
        <w:pStyle w:val="9"/>
        <w:numPr>
          <w:ilvl w:val="0"/>
          <w:numId w:val="3"/>
        </w:numPr>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绩效目标分解下达情况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sz w:val="32"/>
          <w:szCs w:val="32"/>
          <w:lang w:val="en-US" w:eastAsia="zh-CN"/>
        </w:rPr>
        <w:t>项目绩效总目标：</w:t>
      </w:r>
      <w:r>
        <w:rPr>
          <w:rFonts w:hint="eastAsia" w:ascii="Times New Roman" w:hAnsi="Times New Roman" w:eastAsia="仿宋_GB2312" w:cs="Times New Roman"/>
          <w:sz w:val="32"/>
          <w:szCs w:val="32"/>
          <w:lang w:val="en-US" w:eastAsia="zh-CN"/>
        </w:rPr>
        <w:t>一是为进一步贯彻党的二十大精神；二是紧紧围绕县委、县政府中心工作，全面落实科学发展观，确保实现文化强县建设目标，全面推进公共文化服务体系建设，始终把握社会主义文化前进方</w:t>
      </w:r>
      <w:r>
        <w:rPr>
          <w:rFonts w:hint="eastAsia" w:ascii="Times New Roman" w:hAnsi="Times New Roman" w:eastAsia="仿宋_GB2312" w:cs="Times New Roman"/>
          <w:color w:val="auto"/>
          <w:sz w:val="32"/>
          <w:szCs w:val="32"/>
          <w:lang w:val="en-US" w:eastAsia="zh-CN"/>
        </w:rPr>
        <w:t>向，改善群众文化环境，传播先进文化，提供精神食粮，努力满足广大群众日益增长的精神文化需求。</w:t>
      </w:r>
    </w:p>
    <w:p>
      <w:pPr>
        <w:pStyle w:val="9"/>
        <w:numPr>
          <w:ilvl w:val="0"/>
          <w:numId w:val="4"/>
        </w:numPr>
        <w:spacing w:line="600" w:lineRule="exact"/>
        <w:ind w:left="-13" w:leftChars="0" w:firstLine="643" w:firstLine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color w:val="auto"/>
          <w:sz w:val="32"/>
          <w:szCs w:val="32"/>
          <w:lang w:val="en-US" w:eastAsia="zh-CN"/>
        </w:rPr>
        <w:t>中央下达公共文化服务体系建设补助资金</w:t>
      </w:r>
      <w:r>
        <w:rPr>
          <w:rFonts w:hint="eastAsia" w:ascii="Times New Roman" w:hAnsi="Times New Roman" w:eastAsia="楷体_GB2312" w:cs="Times New Roman"/>
          <w:b w:val="0"/>
          <w:bCs/>
          <w:color w:val="auto"/>
          <w:sz w:val="32"/>
          <w:szCs w:val="32"/>
          <w:lang w:val="en-US" w:eastAsia="zh-CN"/>
        </w:rPr>
        <w:t>233.98</w:t>
      </w:r>
      <w:r>
        <w:rPr>
          <w:rFonts w:hint="eastAsia" w:ascii="Times New Roman" w:hAnsi="Times New Roman" w:eastAsia="仿宋_GB2312" w:cs="Times New Roman"/>
          <w:color w:val="auto"/>
          <w:sz w:val="32"/>
          <w:szCs w:val="32"/>
          <w:lang w:val="en-US" w:eastAsia="zh-CN"/>
        </w:rPr>
        <w:t>万，用于融媒体中心广播电视节目无线覆盖运行维护费31.2万元，用于文化旅游广电体育局公共文化服务体系建设绩效奖励补助资金25万元，用于公共文化服务体系建设（农村文化建设）专项资金55万元，用于电影公司农村电影放映13.68万元，用于新时代文明实践中心建设29.1万元，公文化服务体系建设（一般项目）补贴资金80万元拨付给文化旅游广电体育局用于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p>
    <w:p>
      <w:pPr>
        <w:pStyle w:val="9"/>
        <w:numPr>
          <w:ilvl w:val="0"/>
          <w:numId w:val="4"/>
        </w:numPr>
        <w:spacing w:line="600" w:lineRule="exact"/>
        <w:ind w:left="-13" w:leftChars="0" w:firstLine="643" w:firstLine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color w:val="auto"/>
          <w:sz w:val="32"/>
          <w:szCs w:val="32"/>
          <w:lang w:val="en-US" w:eastAsia="zh-CN"/>
        </w:rPr>
        <w:t>绩效</w:t>
      </w:r>
      <w:r>
        <w:rPr>
          <w:rFonts w:hint="default" w:ascii="Times New Roman" w:hAnsi="Times New Roman" w:eastAsia="楷体_GB2312" w:cs="Times New Roman"/>
          <w:b/>
          <w:bCs w:val="0"/>
          <w:color w:val="auto"/>
          <w:sz w:val="32"/>
          <w:szCs w:val="32"/>
          <w:lang w:val="en-US" w:eastAsia="zh-CN"/>
        </w:rPr>
        <w:t>目标分解下达情况；</w:t>
      </w:r>
      <w:r>
        <w:rPr>
          <w:rFonts w:hint="eastAsia" w:ascii="Times New Roman" w:hAnsi="Times New Roman" w:eastAsia="仿宋_GB2312" w:cs="Times New Roman"/>
          <w:color w:val="auto"/>
          <w:sz w:val="32"/>
          <w:szCs w:val="32"/>
          <w:lang w:val="en-US" w:eastAsia="zh-CN"/>
        </w:rPr>
        <w:t>广播电视节目无线覆盖运行维护31.2万，</w:t>
      </w:r>
      <w:r>
        <w:rPr>
          <w:rFonts w:ascii="Times New Roman" w:hAnsi="Times New Roman" w:eastAsia="仿宋_GB2312" w:cs="Times New Roman"/>
          <w:color w:val="auto"/>
          <w:kern w:val="2"/>
          <w:sz w:val="32"/>
          <w:szCs w:val="32"/>
          <w:lang w:val="en-US" w:eastAsia="zh-CN" w:bidi="ar-SA"/>
        </w:rPr>
        <w:t>用于我县</w:t>
      </w:r>
      <w:r>
        <w:rPr>
          <w:rFonts w:hint="eastAsia"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lang w:val="en-US" w:eastAsia="zh-CN" w:bidi="ar-SA"/>
        </w:rPr>
        <w:t>处数字和模拟发射机房的更新和扩建和日常的维修维护，目的使中央数字和模拟节目全部覆盖到</w:t>
      </w:r>
      <w:r>
        <w:rPr>
          <w:rFonts w:hint="eastAsia" w:ascii="Times New Roman" w:hAnsi="Times New Roman" w:eastAsia="仿宋_GB2312" w:cs="Times New Roman"/>
          <w:color w:val="auto"/>
          <w:kern w:val="2"/>
          <w:sz w:val="32"/>
          <w:szCs w:val="32"/>
          <w:lang w:val="en-US" w:eastAsia="zh-CN" w:bidi="ar-SA"/>
        </w:rPr>
        <w:t>12</w:t>
      </w:r>
      <w:r>
        <w:rPr>
          <w:rFonts w:ascii="Times New Roman" w:hAnsi="Times New Roman" w:eastAsia="仿宋_GB2312" w:cs="Times New Roman"/>
          <w:color w:val="auto"/>
          <w:kern w:val="2"/>
          <w:sz w:val="32"/>
          <w:szCs w:val="32"/>
          <w:lang w:val="en-US" w:eastAsia="zh-CN" w:bidi="ar-SA"/>
        </w:rPr>
        <w:t>个乡镇</w:t>
      </w:r>
      <w:r>
        <w:rPr>
          <w:rFonts w:hint="eastAsia" w:ascii="Times New Roman" w:hAnsi="Times New Roman" w:eastAsia="仿宋_GB2312" w:cs="Times New Roman"/>
          <w:color w:val="auto"/>
          <w:kern w:val="2"/>
          <w:sz w:val="32"/>
          <w:szCs w:val="32"/>
          <w:lang w:val="en-US" w:eastAsia="zh-CN" w:bidi="ar-SA"/>
        </w:rPr>
        <w:t>、114</w:t>
      </w:r>
      <w:r>
        <w:rPr>
          <w:rFonts w:ascii="Times New Roman" w:hAnsi="Times New Roman" w:eastAsia="仿宋_GB2312" w:cs="Times New Roman"/>
          <w:color w:val="auto"/>
          <w:kern w:val="2"/>
          <w:sz w:val="32"/>
          <w:szCs w:val="32"/>
          <w:lang w:val="en-US" w:eastAsia="zh-CN" w:bidi="ar-SA"/>
        </w:rPr>
        <w:t>个</w:t>
      </w:r>
      <w:r>
        <w:rPr>
          <w:rFonts w:hint="eastAsia" w:ascii="Times New Roman" w:hAnsi="Times New Roman" w:eastAsia="仿宋_GB2312" w:cs="Times New Roman"/>
          <w:color w:val="auto"/>
          <w:kern w:val="2"/>
          <w:sz w:val="32"/>
          <w:szCs w:val="32"/>
          <w:lang w:val="en-US" w:eastAsia="zh-CN" w:bidi="ar-SA"/>
        </w:rPr>
        <w:t>行政村和3个林场</w:t>
      </w:r>
      <w:r>
        <w:rPr>
          <w:rFonts w:ascii="Times New Roman" w:hAnsi="Times New Roman" w:eastAsia="仿宋_GB2312" w:cs="Times New Roman"/>
          <w:color w:val="auto"/>
          <w:kern w:val="2"/>
          <w:sz w:val="32"/>
          <w:szCs w:val="32"/>
          <w:lang w:val="en-US" w:eastAsia="zh-CN" w:bidi="ar-SA"/>
        </w:rPr>
        <w:t>，使百姓收看和收听到免费的广播电视节目</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完成</w:t>
      </w:r>
      <w:r>
        <w:rPr>
          <w:rFonts w:hint="eastAsia" w:ascii="Times New Roman" w:hAnsi="Times New Roman" w:eastAsia="仿宋_GB2312" w:cs="Times New Roman"/>
          <w:color w:val="auto"/>
          <w:sz w:val="32"/>
          <w:szCs w:val="32"/>
          <w:lang w:val="en-US" w:eastAsia="zh-CN"/>
        </w:rPr>
        <w:t>为贫困地区放映公益电影</w:t>
      </w:r>
      <w:r>
        <w:rPr>
          <w:rFonts w:hint="eastAsia" w:ascii="Times New Roman" w:hAnsi="Times New Roman" w:eastAsia="仿宋_GB2312" w:cs="Times New Roman"/>
          <w:sz w:val="32"/>
          <w:szCs w:val="32"/>
          <w:lang w:val="en-US" w:eastAsia="zh-CN"/>
        </w:rPr>
        <w:t>1368</w:t>
      </w:r>
      <w:r>
        <w:rPr>
          <w:rFonts w:hint="eastAsia" w:ascii="Times New Roman" w:hAnsi="Times New Roman" w:eastAsia="仿宋_GB2312" w:cs="Times New Roman"/>
          <w:color w:val="auto"/>
          <w:sz w:val="32"/>
          <w:szCs w:val="32"/>
          <w:lang w:val="en-US" w:eastAsia="zh-CN"/>
        </w:rPr>
        <w:t>场次13.68万元；对文化旅游广电体育局公共文化服务体系建设绩效奖励补助资金25万元；开展送戏下乡、元宵晚会等活动55万元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用于新时代文明实践中心建设29.1万元，公文化服务体系建设（一般项目）补贴资金80万元，其中双牌县图书馆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r>
        <w:rPr>
          <w:rFonts w:hint="default" w:ascii="Times New Roman" w:hAnsi="Times New Roman" w:eastAsia="仿宋_GB2312" w:cs="Times New Roman"/>
          <w:color w:val="auto"/>
          <w:sz w:val="32"/>
          <w:szCs w:val="32"/>
          <w:lang w:val="en-US" w:eastAsia="zh-CN"/>
        </w:rPr>
        <w:t>。</w:t>
      </w:r>
    </w:p>
    <w:p>
      <w:pPr>
        <w:pStyle w:val="9"/>
        <w:spacing w:line="600" w:lineRule="exact"/>
        <w:ind w:left="640" w:firstLine="0" w:firstLineChars="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二、绩效目标完成情况分析</w:t>
      </w:r>
    </w:p>
    <w:p>
      <w:pPr>
        <w:pStyle w:val="9"/>
        <w:numPr>
          <w:ilvl w:val="0"/>
          <w:numId w:val="5"/>
        </w:numPr>
        <w:spacing w:line="600" w:lineRule="exact"/>
        <w:ind w:left="0" w:firstLine="643"/>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资金投入情况分析。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1、项目资金到位情况分析。</w:t>
      </w:r>
    </w:p>
    <w:p>
      <w:pPr>
        <w:pStyle w:val="9"/>
        <w:numPr>
          <w:ilvl w:val="0"/>
          <w:numId w:val="0"/>
        </w:num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2024年12月份，共</w:t>
      </w:r>
      <w:r>
        <w:rPr>
          <w:rFonts w:hint="eastAsia" w:ascii="Times New Roman" w:hAnsi="Times New Roman" w:eastAsia="仿宋_GB2312" w:cs="Times New Roman"/>
          <w:sz w:val="32"/>
          <w:szCs w:val="32"/>
          <w:lang w:val="en-US" w:eastAsia="zh-CN"/>
        </w:rPr>
        <w:t>拨付</w:t>
      </w:r>
      <w:r>
        <w:rPr>
          <w:rFonts w:hint="eastAsia" w:ascii="Times New Roman" w:hAnsi="Times New Roman" w:eastAsia="仿宋_GB2312" w:cs="Times New Roman"/>
          <w:sz w:val="32"/>
          <w:szCs w:val="32"/>
        </w:rPr>
        <w:t>公共文化服务体系专项资金</w:t>
      </w:r>
      <w:r>
        <w:rPr>
          <w:rFonts w:hint="eastAsia" w:ascii="Times New Roman" w:hAnsi="Times New Roman" w:eastAsia="仿宋_GB2312" w:cs="Times New Roman"/>
          <w:sz w:val="32"/>
          <w:szCs w:val="32"/>
          <w:lang w:val="en-US" w:eastAsia="zh-CN"/>
        </w:rPr>
        <w:t>233.98万元，其中：安排县文旅广体局80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县融媒体中心31.2万元，电影放映公司13.68万元，宣传部29.1万元，拨付</w:t>
      </w:r>
      <w:r>
        <w:rPr>
          <w:rFonts w:hint="eastAsia" w:ascii="Times New Roman" w:hAnsi="Times New Roman" w:eastAsia="仿宋_GB2312" w:cs="Times New Roman"/>
          <w:color w:val="auto"/>
          <w:sz w:val="32"/>
          <w:szCs w:val="32"/>
          <w:lang w:val="en-US" w:eastAsia="zh-CN"/>
        </w:rPr>
        <w:t>公文化服务体系建设（一般项目）补贴资金80万元，其中双牌县图书馆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r>
        <w:rPr>
          <w:rFonts w:hint="default" w:ascii="Times New Roman" w:hAnsi="Times New Roman" w:eastAsia="仿宋_GB2312" w:cs="Times New Roman"/>
          <w:color w:val="auto"/>
          <w:sz w:val="32"/>
          <w:szCs w:val="32"/>
          <w:lang w:val="en-US" w:eastAsia="zh-CN"/>
        </w:rPr>
        <w:t>确保专项资金高效使用。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2024年上级财政投入233.98万元拨付到位，执行情况较好，管理使用规范。</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项目资金执行情况分析。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上级专项资金下达后，县财政及时将资金全额下拨，无截留、挪用项目资金行为。县文旅广体局、县融媒体中心、县电影放映公司、图书馆充分利用上级文化专项资金，积极发挥资金使用效益，截止至2024年12月，上级财政投入233.98万元全部完成支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项目资金管理情况分析。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公共文化服务体系建设专项资金严格按照</w:t>
      </w:r>
      <w:r>
        <w:rPr>
          <w:rFonts w:hint="eastAsia" w:ascii="Times New Roman" w:hAnsi="Times New Roman" w:eastAsia="仿宋_GB2312" w:cs="Times New Roman"/>
          <w:sz w:val="32"/>
          <w:szCs w:val="32"/>
          <w:lang w:val="en-US" w:eastAsia="zh-CN"/>
        </w:rPr>
        <w:t>有关规定，</w:t>
      </w:r>
      <w:r>
        <w:rPr>
          <w:rFonts w:hint="eastAsia" w:ascii="Times New Roman" w:hAnsi="Times New Roman" w:eastAsia="仿宋_GB2312" w:cs="Times New Roman"/>
          <w:sz w:val="32"/>
          <w:szCs w:val="32"/>
        </w:rPr>
        <w:t>加强资金管理，提高资金使用效益，并按照《中共中央国务院关于全面实施预算绩效管理的意见》的要求,完善绩效目标管理，做好绩效运行监控个绩效评价，确保资金规范使用。</w:t>
      </w:r>
    </w:p>
    <w:p>
      <w:pPr>
        <w:pStyle w:val="9"/>
        <w:numPr>
          <w:ilvl w:val="0"/>
          <w:numId w:val="5"/>
        </w:numPr>
        <w:spacing w:line="600" w:lineRule="exact"/>
        <w:ind w:left="0"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总体绩效目标完成情况分析。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今年以来，我县在市直有关部门的有力指导下，坚持守正创新，着眼满足人民群众精神文化生活新期待，把贯彻落实《湖南省公共文化服务体系高质量发展五年行动计划（2021年-2025年）》作为建设科教文化高地的一项责任工程、社会工程、民心工程和幸福工程来抓实抓好，以高质量文化供给增强人民群众的文化获得感、幸福感。</w:t>
      </w:r>
      <w:r>
        <w:rPr>
          <w:rFonts w:hint="eastAsia" w:ascii="Times New Roman" w:hAnsi="Times New Roman" w:eastAsia="仿宋_GB2312" w:cs="Times New Roman"/>
          <w:sz w:val="32"/>
          <w:szCs w:val="32"/>
          <w:lang w:val="en-US" w:eastAsia="zh-CN"/>
        </w:rPr>
        <w:t>截止目前，我县有1个图书馆，1个文化馆，1个美术馆，1个省级重点文物保护单位岁圆楼，12个乡镇（管理局）综合文化站，114个农家书屋。</w:t>
      </w:r>
    </w:p>
    <w:p>
      <w:pPr>
        <w:pStyle w:val="9"/>
        <w:numPr>
          <w:ilvl w:val="0"/>
          <w:numId w:val="0"/>
        </w:numPr>
        <w:spacing w:line="60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是从“优质”核心驱动，全面提升景区品质，打造优越旅游体验。多渠道整合资金对重点景区景点进行提质改造，民宿、酒店、游客中心、停车场、通景公路、星级旅游厕所、旅居营地等基础配套不断完善。二是从“全面”视角出发，促进多元业态深度融合，共创旅游产业发展新生态。大力实施“旅游+”“+旅游”战略，积极发展民宿、避暑、露营、自驾等旅游新业态。一年来，共获得国家、省、市荣誉和品牌14项。三是从“品牌”塑造入手，精心打造高品质节会活动，铸就出色盛会体验。坚持以节促游、以节聚力，先后承办成功举办第十五届阳明山“和”文化旅游节、湖南“超级芒果”高校音乐季暨第四届阳明山帐篷露营嘉年华等节会活动。同时，与省红网合作承办了全市“金牌”导游大赛暨文旅推介官活动；与市融媒体中心合作推广永州市手工制茶技能大赛，并启动摄影大赛、短视频（直播）大赛、2024“桐子坳的秋”永州原创歌曲演唱会等系列节会活动，带动全县旅游市场持续火爆。四是从“创新”营销入手，全力打造知名旅游品牌，提升旅游目的地影响力。借助传统媒体、新媒体等手段，实施“网红+文旅”宣传营销新模式，扩大双牌旅游受众规模。4月28日至5月3日期间，在长沙中心地段开展千屏联播主题宣传，重点推介双牌阳明山，全天展现180频次，日均曝光人车流量预计超过150万人次。抖音推出的“上春山赏杜鹃百万游客打卡阳明山”话题播放量高达1.1亿次，“康养福地‘森’态双牌”“硬扎的双牌味道”等关键词引爆网络，整体节会宣传曝光量超过3亿人次。实现了热搜热评、刷屏霸屏的传播效果。同时，与省内外200余家旅行社合作，加大广东、广西等省外旅游市场推介，台湾游客频频打卡阳明山，大湾区已成为桐子坳景区的重要客源地。</w:t>
      </w:r>
    </w:p>
    <w:p>
      <w:pPr>
        <w:pStyle w:val="9"/>
        <w:numPr>
          <w:ilvl w:val="0"/>
          <w:numId w:val="0"/>
        </w:numPr>
        <w:spacing w:line="600" w:lineRule="exact"/>
        <w:ind w:firstLine="642"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val="en-US" w:eastAsia="zh-CN"/>
        </w:rPr>
        <w:t>三）</w:t>
      </w:r>
      <w:r>
        <w:rPr>
          <w:rFonts w:ascii="Times New Roman" w:hAnsi="Times New Roman" w:eastAsia="楷体_GB2312" w:cs="Times New Roman"/>
          <w:b/>
          <w:sz w:val="32"/>
          <w:szCs w:val="32"/>
        </w:rPr>
        <w:t>绩效指标完成情况分析。</w:t>
      </w:r>
    </w:p>
    <w:p>
      <w:pPr>
        <w:pStyle w:val="9"/>
        <w:numPr>
          <w:ilvl w:val="0"/>
          <w:numId w:val="6"/>
        </w:numPr>
        <w:spacing w:line="60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产出指标完成情况分析。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数量指标。</w:t>
      </w:r>
      <w:r>
        <w:rPr>
          <w:rFonts w:hint="eastAsia" w:ascii="Times New Roman" w:hAnsi="Times New Roman" w:eastAsia="仿宋_GB2312" w:cs="Times New Roman"/>
          <w:sz w:val="32"/>
          <w:szCs w:val="32"/>
          <w:highlight w:val="none"/>
          <w:lang w:val="en-US" w:eastAsia="zh-CN"/>
        </w:rPr>
        <w:t>广播电视节目无线覆</w:t>
      </w:r>
      <w:r>
        <w:rPr>
          <w:rFonts w:hint="eastAsia" w:ascii="Times New Roman" w:hAnsi="Times New Roman" w:eastAsia="仿宋_GB2312" w:cs="Times New Roman"/>
          <w:sz w:val="32"/>
          <w:szCs w:val="32"/>
          <w:lang w:val="en-US" w:eastAsia="zh-CN"/>
        </w:rPr>
        <w:t>盖运行维护资金31.2万，让12个乡镇台站的设备更新和建设，保证百姓的收听和收看质量逐步提高。无线覆盖覆盖行政村102个，提高全县无线覆盖信号覆盖率，完成设备更新和建设数量；</w:t>
      </w: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cs="Times New Roman"/>
          <w:sz w:val="32"/>
          <w:szCs w:val="32"/>
          <w:lang w:val="en-US" w:eastAsia="zh-CN"/>
        </w:rPr>
        <w:t>为贫困地区放映公益电影1368场次</w:t>
      </w:r>
      <w:r>
        <w:rPr>
          <w:rFonts w:hint="eastAsia" w:ascii="Times New Roman" w:hAnsi="Times New Roman" w:eastAsia="仿宋_GB2312" w:cs="Times New Roman"/>
          <w:color w:val="auto"/>
          <w:sz w:val="32"/>
          <w:szCs w:val="32"/>
          <w:lang w:val="en-US" w:eastAsia="zh-CN"/>
        </w:rPr>
        <w:t>13.68</w:t>
      </w:r>
      <w:r>
        <w:rPr>
          <w:rFonts w:hint="eastAsia" w:ascii="Times New Roman" w:hAnsi="Times New Roman" w:eastAsia="仿宋_GB2312" w:cs="Times New Roman"/>
          <w:sz w:val="32"/>
          <w:szCs w:val="32"/>
          <w:lang w:val="en-US" w:eastAsia="zh-CN"/>
        </w:rPr>
        <w:t>万元，开展送戏下乡、农村体育活动等55万元</w:t>
      </w:r>
      <w:r>
        <w:rPr>
          <w:rFonts w:hint="default" w:ascii="Times New Roman" w:hAnsi="Times New Roman" w:eastAsia="仿宋_GB2312" w:cs="Times New Roman"/>
          <w:sz w:val="32"/>
          <w:szCs w:val="32"/>
          <w:lang w:val="en-US" w:eastAsia="zh-CN"/>
        </w:rPr>
        <w:t>；文化旅游广电体育局公共文化服务体系建设绩效奖励补助资金25万元</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lang w:val="en-US" w:eastAsia="zh-CN"/>
        </w:rPr>
        <w:t>用于新时代文明实践中心建设29.1万元，公文化服务体系建设（一般项目）补贴资金80万元，其中双牌县图书馆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r>
        <w:rPr>
          <w:rFonts w:hint="default" w:ascii="Times New Roman" w:hAnsi="Times New Roman" w:eastAsia="仿宋_GB2312" w:cs="Times New Roman"/>
          <w:color w:val="auto"/>
          <w:sz w:val="32"/>
          <w:szCs w:val="32"/>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质量指标。</w:t>
      </w:r>
      <w:r>
        <w:rPr>
          <w:rFonts w:hint="eastAsia" w:ascii="Times New Roman" w:hAnsi="Times New Roman" w:eastAsia="仿宋_GB2312" w:cs="Times New Roman"/>
          <w:sz w:val="32"/>
          <w:szCs w:val="32"/>
          <w:lang w:val="en-US" w:eastAsia="zh-CN"/>
        </w:rPr>
        <w:t>通过这些项目的开展，极大提升了我县公共文化服务体系基础设施条件，</w:t>
      </w:r>
      <w:r>
        <w:rPr>
          <w:rFonts w:hint="eastAsia" w:ascii="Times New Roman" w:hAnsi="Times New Roman" w:eastAsia="仿宋_GB2312" w:cs="Times New Roman"/>
          <w:sz w:val="32"/>
          <w:szCs w:val="32"/>
        </w:rPr>
        <w:t>不断满足人民日益增长的美好生</w:t>
      </w:r>
      <w:r>
        <w:rPr>
          <w:rFonts w:hint="eastAsia" w:ascii="Times New Roman" w:hAnsi="Times New Roman" w:eastAsia="仿宋_GB2312" w:cs="Times New Roman"/>
          <w:sz w:val="32"/>
          <w:szCs w:val="32"/>
          <w:lang w:val="en-US" w:eastAsia="zh-CN"/>
        </w:rPr>
        <w:t>活</w:t>
      </w:r>
      <w:r>
        <w:rPr>
          <w:rFonts w:hint="eastAsia" w:ascii="Times New Roman" w:hAnsi="Times New Roman" w:eastAsia="仿宋_GB2312" w:cs="Times New Roman"/>
          <w:sz w:val="32"/>
          <w:szCs w:val="32"/>
        </w:rPr>
        <w:t>需要，为</w:t>
      </w:r>
      <w:r>
        <w:rPr>
          <w:rFonts w:hint="eastAsia" w:ascii="Times New Roman" w:hAnsi="Times New Roman" w:eastAsia="仿宋_GB2312" w:cs="Times New Roman"/>
          <w:sz w:val="32"/>
          <w:szCs w:val="32"/>
          <w:lang w:val="en-US" w:eastAsia="zh-CN"/>
        </w:rPr>
        <w:t>助力乡村振兴</w:t>
      </w:r>
      <w:r>
        <w:rPr>
          <w:rFonts w:hint="eastAsia" w:ascii="Times New Roman" w:hAnsi="Times New Roman" w:eastAsia="仿宋_GB2312" w:cs="Times New Roman"/>
          <w:sz w:val="32"/>
          <w:szCs w:val="32"/>
        </w:rPr>
        <w:t>，全面建成小康社会打下决定性基础</w:t>
      </w:r>
      <w:r>
        <w:rPr>
          <w:rFonts w:hint="eastAsia" w:ascii="Times New Roman" w:hAnsi="Times New Roman" w:eastAsia="仿宋_GB2312" w:cs="Times New Roman"/>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时效指标。</w:t>
      </w:r>
      <w:r>
        <w:rPr>
          <w:rFonts w:hint="eastAsia" w:ascii="Times New Roman" w:hAnsi="Times New Roman" w:eastAsia="仿宋_GB2312" w:cs="Times New Roman"/>
          <w:sz w:val="32"/>
          <w:szCs w:val="32"/>
          <w:lang w:val="en-US" w:eastAsia="zh-CN"/>
        </w:rPr>
        <w:t>各个项目、活动按照预定的时间于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4年全部</w:t>
      </w:r>
      <w:r>
        <w:rPr>
          <w:rFonts w:hint="eastAsia" w:ascii="Times New Roman" w:hAnsi="Times New Roman" w:eastAsia="仿宋_GB2312" w:cs="Times New Roman"/>
          <w:sz w:val="32"/>
          <w:szCs w:val="32"/>
        </w:rPr>
        <w:t>完成。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成本指标</w:t>
      </w:r>
      <w:r>
        <w:rPr>
          <w:rFonts w:hint="eastAsia" w:ascii="Times New Roman" w:hAnsi="Times New Roman" w:eastAsia="仿宋_GB2312" w:cs="Times New Roman"/>
          <w:sz w:val="32"/>
          <w:szCs w:val="32"/>
          <w:lang w:val="en-US" w:eastAsia="zh-CN"/>
        </w:rPr>
        <w:t>。活动及项目建设项目资金的整体管理水平较高，做到专款专用，活动开展没有出现超支情况。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2、效益指标完成情况分析。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经济效益。</w:t>
      </w:r>
      <w:r>
        <w:rPr>
          <w:rFonts w:hint="eastAsia" w:ascii="Times New Roman" w:hAnsi="Times New Roman" w:eastAsia="仿宋_GB2312" w:cs="Times New Roman"/>
          <w:sz w:val="32"/>
          <w:szCs w:val="32"/>
          <w:lang w:val="en-US" w:eastAsia="zh-CN"/>
        </w:rPr>
        <w:t>通过大力宣传和推广全域旅游，提高全年旅游门票收入</w:t>
      </w:r>
      <w:r>
        <w:rPr>
          <w:rFonts w:hint="eastAsia" w:ascii="Times New Roman" w:hAnsi="Times New Roman" w:eastAsia="仿宋_GB2312" w:cs="Times New Roman"/>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社会效益。</w:t>
      </w:r>
      <w:r>
        <w:rPr>
          <w:rFonts w:hint="eastAsia" w:ascii="Times New Roman" w:hAnsi="Times New Roman" w:eastAsia="仿宋_GB2312" w:cs="Times New Roman"/>
          <w:sz w:val="32"/>
          <w:szCs w:val="32"/>
        </w:rPr>
        <w:t>提升了我县社会主义精神文明建设，通过引导村民开展农家书屋阅读活动和村丰富多彩的群众文化娱乐等活动，让人们参与其中，接受各种艺术熏陶，满足了群众的活动需求，提升了全县文化建设水平，取得了很好的社会效益。</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生态效益。</w:t>
      </w:r>
      <w:r>
        <w:rPr>
          <w:rFonts w:hint="eastAsia" w:ascii="Times New Roman" w:hAnsi="Times New Roman" w:eastAsia="仿宋_GB2312" w:cs="Times New Roman"/>
          <w:sz w:val="32"/>
          <w:szCs w:val="32"/>
          <w:lang w:val="en-US" w:eastAsia="zh-CN"/>
        </w:rPr>
        <w:t>大力发展生态康养旅游，融合自然风光与文化、民族、红色等元素，通过文化宣传和引导，提升了群众保护环境、美化家园的环境意识，实现由“要我环保”向“我要环保”的转变。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val="en-US" w:eastAsia="zh-CN"/>
        </w:rPr>
        <w:t>通过公共文化服务体系建设的完善和提升，不断提高公共文化服务水平，营造了良好的农村文化活动氛围，保障了基层群众基本文化权益，群众满意度逐年提升。</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满意度指标完成情况分析。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根据使用情况，所有建成的配套项目均实现高效运转，群众颇为满意。</w:t>
      </w:r>
    </w:p>
    <w:p>
      <w:pPr>
        <w:pStyle w:val="9"/>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三、偏离绩效目标的原因和下一步改进措施</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综上，我县2024年</w:t>
      </w:r>
      <w:r>
        <w:rPr>
          <w:rFonts w:eastAsia="仿宋_GB2312"/>
          <w:sz w:val="32"/>
          <w:szCs w:val="32"/>
        </w:rPr>
        <w:t>总体绩效目标和绩效指标</w:t>
      </w:r>
      <w:r>
        <w:rPr>
          <w:rFonts w:hint="eastAsia" w:eastAsia="仿宋_GB2312"/>
          <w:sz w:val="32"/>
          <w:szCs w:val="32"/>
          <w:lang w:val="en-US" w:eastAsia="zh-CN"/>
        </w:rPr>
        <w:t>均已</w:t>
      </w:r>
      <w:r>
        <w:rPr>
          <w:rFonts w:eastAsia="仿宋_GB2312"/>
          <w:sz w:val="32"/>
          <w:szCs w:val="32"/>
        </w:rPr>
        <w:t>完成</w:t>
      </w:r>
      <w:r>
        <w:rPr>
          <w:rFonts w:hint="eastAsia" w:eastAsia="仿宋_GB2312"/>
          <w:sz w:val="32"/>
          <w:szCs w:val="32"/>
          <w:lang w:eastAsia="zh-CN"/>
        </w:rPr>
        <w:t>。</w:t>
      </w:r>
    </w:p>
    <w:p>
      <w:pPr>
        <w:pStyle w:val="9"/>
        <w:numPr>
          <w:ilvl w:val="0"/>
          <w:numId w:val="7"/>
        </w:numPr>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绩效自评结果拟应用和公开情况</w:t>
      </w:r>
    </w:p>
    <w:p>
      <w:pPr>
        <w:pStyle w:val="9"/>
        <w:numPr>
          <w:ilvl w:val="0"/>
          <w:numId w:val="0"/>
        </w:numPr>
        <w:spacing w:line="600" w:lineRule="exact"/>
        <w:ind w:left="640" w:left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绩效自评结论为“好”，圆满完成了年度设定目标。近</w:t>
      </w:r>
    </w:p>
    <w:p>
      <w:pPr>
        <w:pStyle w:val="9"/>
        <w:numPr>
          <w:ilvl w:val="0"/>
          <w:numId w:val="0"/>
        </w:numPr>
        <w:spacing w:line="600" w:lineRule="exact"/>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期拟在我县政府网进行公示。</w:t>
      </w:r>
    </w:p>
    <w:p>
      <w:pPr>
        <w:pStyle w:val="9"/>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五、其他需要说明的问题</w:t>
      </w:r>
    </w:p>
    <w:p>
      <w:pPr>
        <w:spacing w:line="600" w:lineRule="exact"/>
        <w:ind w:firstLine="640" w:firstLineChars="200"/>
        <w:rPr>
          <w:rFonts w:hint="eastAsia" w:eastAsia="仿宋_GB2312"/>
          <w:sz w:val="32"/>
          <w:szCs w:val="32"/>
          <w:lang w:val="en-US" w:eastAsia="zh-CN"/>
        </w:rPr>
      </w:pPr>
      <w:r>
        <w:rPr>
          <w:rFonts w:eastAsia="仿宋_GB2312"/>
          <w:sz w:val="32"/>
          <w:szCs w:val="32"/>
        </w:rPr>
        <w:t>中央巡视、各级审计和财政监督中</w:t>
      </w:r>
      <w:r>
        <w:rPr>
          <w:rFonts w:hint="eastAsia" w:eastAsia="仿宋_GB2312"/>
          <w:sz w:val="32"/>
          <w:szCs w:val="32"/>
          <w:lang w:val="en-US" w:eastAsia="zh-CN"/>
        </w:rPr>
        <w:t>未</w:t>
      </w:r>
      <w:r>
        <w:rPr>
          <w:rFonts w:eastAsia="仿宋_GB2312"/>
          <w:sz w:val="32"/>
          <w:szCs w:val="32"/>
        </w:rPr>
        <w:t>发现问题</w:t>
      </w:r>
      <w:r>
        <w:rPr>
          <w:rFonts w:hint="eastAsia" w:eastAsia="仿宋_GB2312"/>
          <w:sz w:val="32"/>
          <w:szCs w:val="32"/>
          <w:lang w:eastAsia="zh-CN"/>
        </w:rPr>
        <w:t>。</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附：转移支付区域（项目）绩效目标自评表</w:t>
      </w:r>
    </w:p>
    <w:p>
      <w:pPr>
        <w:spacing w:line="600" w:lineRule="exact"/>
        <w:ind w:firstLine="640" w:firstLineChars="200"/>
        <w:rPr>
          <w:rFonts w:eastAsia="仿宋_GB2312"/>
          <w:sz w:val="32"/>
          <w:szCs w:val="32"/>
        </w:rPr>
      </w:pPr>
    </w:p>
    <w:p>
      <w:pPr>
        <w:rPr>
          <w:rFonts w:hint="eastAsia"/>
          <w:lang w:val="en-US" w:eastAsia="zh-CN"/>
        </w:rPr>
      </w:pPr>
      <w:r>
        <w:rPr>
          <w:rFonts w:hint="eastAsia"/>
          <w:lang w:val="en-US" w:eastAsia="zh-CN"/>
        </w:rPr>
        <w:t xml:space="preserve">   </w:t>
      </w:r>
    </w:p>
    <w:p>
      <w:pPr>
        <w:rPr>
          <w:rFonts w:hint="eastAsia"/>
          <w:lang w:val="en-US" w:eastAsia="zh-CN"/>
        </w:rPr>
      </w:pPr>
    </w:p>
    <w:p>
      <w:pPr>
        <w:spacing w:line="600" w:lineRule="exact"/>
        <w:ind w:firstLine="3570" w:firstLineChars="1700"/>
        <w:rPr>
          <w:rFonts w:hint="eastAsia" w:eastAsia="仿宋_GB2312"/>
          <w:sz w:val="32"/>
          <w:szCs w:val="32"/>
          <w:lang w:val="en-US" w:eastAsia="zh-CN"/>
        </w:rPr>
      </w:pPr>
      <w:r>
        <w:rPr>
          <w:rFonts w:hint="eastAsia"/>
          <w:lang w:val="en-US" w:eastAsia="zh-CN"/>
        </w:rPr>
        <w:t xml:space="preserve">                                        </w:t>
      </w:r>
      <w:r>
        <w:rPr>
          <w:rFonts w:hint="eastAsia" w:eastAsia="仿宋_GB2312"/>
          <w:sz w:val="32"/>
          <w:szCs w:val="32"/>
          <w:lang w:val="en-US" w:eastAsia="zh-CN"/>
        </w:rPr>
        <w:t xml:space="preserve">      </w:t>
      </w:r>
    </w:p>
    <w:p>
      <w:pPr>
        <w:spacing w:line="600" w:lineRule="exact"/>
        <w:ind w:firstLine="5440" w:firstLineChars="1700"/>
        <w:rPr>
          <w:rFonts w:hint="default" w:eastAsia="仿宋_GB2312"/>
          <w:sz w:val="32"/>
          <w:szCs w:val="32"/>
          <w:lang w:val="en-US" w:eastAsia="zh-CN"/>
        </w:rPr>
      </w:pPr>
    </w:p>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imes New Roman" w:hAnsi="Times New Roman" w:eastAsia="仿宋_GB2312" w:cs="Times New Roman"/>
                <w:color w:val="000000"/>
                <w:kern w:val="0"/>
                <w:szCs w:val="21"/>
                <w:lang w:val="en-US" w:eastAsia="zh-CN"/>
              </w:rPr>
              <w:t>双牌县</w:t>
            </w:r>
            <w:r>
              <w:rPr>
                <w:rFonts w:hint="eastAsia" w:ascii="Times New Roman" w:hAnsi="Times New Roman" w:eastAsia="仿宋_GB2312" w:cs="Times New Roman"/>
                <w:color w:val="000000"/>
                <w:kern w:val="0"/>
                <w:szCs w:val="21"/>
                <w:lang w:eastAsia="zh-CN"/>
              </w:rPr>
              <w:t>公共文化服务体系建设补助资金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imes New Roman" w:hAnsi="Times New Roman" w:eastAsia="仿宋_GB2312" w:cs="Times New Roman"/>
                <w:color w:val="000000"/>
                <w:kern w:val="0"/>
                <w:sz w:val="20"/>
                <w:szCs w:val="20"/>
                <w:lang w:val="en-US" w:eastAsia="zh-CN"/>
              </w:rPr>
              <w:t>233.98万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eastAsia="仿宋_GB2312"/>
                <w:color w:val="000000"/>
                <w:kern w:val="0"/>
                <w:szCs w:val="21"/>
                <w:lang w:val="en-US" w:eastAsia="zh-CN"/>
              </w:rPr>
              <w:t>湖南省财政厅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imes New Roman" w:hAnsi="Times New Roman" w:eastAsia="仿宋_GB2312" w:cstheme="minorBidi"/>
                <w:color w:val="000000"/>
                <w:kern w:val="0"/>
                <w:sz w:val="21"/>
                <w:szCs w:val="21"/>
                <w:lang w:val="en-US" w:eastAsia="zh-CN" w:bidi="ar-SA"/>
              </w:rPr>
              <w:t>健全基层公共文化服务体系，推进全县创建国家公共文化服务体系建设，通过补短板建设，进一步丰富广大群众精神文化生活。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eastAsia" w:ascii="Times New Roman" w:hAnsi="Times New Roman" w:eastAsia="仿宋_GB2312" w:cstheme="minorBidi"/>
                <w:color w:val="000000"/>
                <w:kern w:val="0"/>
                <w:sz w:val="21"/>
                <w:szCs w:val="21"/>
                <w:lang w:val="en-US" w:eastAsia="zh-CN" w:bidi="ar-SA"/>
              </w:rPr>
            </w:pPr>
            <w:r>
              <w:rPr>
                <w:rFonts w:hint="eastAsia" w:ascii="Times New Roman" w:hAnsi="Times New Roman" w:eastAsia="仿宋_GB2312" w:cstheme="minorBidi"/>
                <w:color w:val="000000"/>
                <w:kern w:val="0"/>
                <w:sz w:val="21"/>
                <w:szCs w:val="21"/>
                <w:lang w:val="en-US" w:eastAsia="zh-CN" w:bidi="ar-SA"/>
              </w:rPr>
              <w:t>2024年上级专项资金下达后，县财政及时将资金全额下拨，无截留、挪用项目资金行为。县文旅广体局、县融媒体中心、县电影放映公司、图书馆充分利用上级文化专项资金，积极发挥资金使用效益，截止至2024年12月，上级财政投入233.98万元全部完成支出。</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eastAsia" w:ascii="Times New Roman" w:hAnsi="Times New Roman" w:eastAsia="仿宋_GB2312" w:cstheme="minorBidi"/>
                <w:color w:val="000000"/>
                <w:kern w:val="0"/>
                <w:sz w:val="21"/>
                <w:szCs w:val="21"/>
                <w:lang w:val="en-US" w:eastAsia="zh-CN" w:bidi="ar-SA"/>
              </w:rPr>
            </w:pPr>
            <w:r>
              <w:rPr>
                <w:rFonts w:hint="eastAsia" w:ascii="Times New Roman" w:hAnsi="Times New Roman" w:eastAsia="仿宋_GB2312" w:cstheme="minorBidi"/>
                <w:color w:val="000000"/>
                <w:kern w:val="0"/>
                <w:sz w:val="21"/>
                <w:szCs w:val="21"/>
                <w:lang w:val="en-US" w:eastAsia="zh-CN" w:bidi="ar-SA"/>
              </w:rPr>
              <w:t>今年以来，我县在市直有关部门的有力指导下，坚持守正创新，着眼满足人民群众精神文化生活新期待，把贯彻落实《湖南省公共文化服务体系高质量发展五年行动计划（2021年-2025年）》作为建设科教文化高地的一项责任工程、社会工程、民心工程和幸福工程来抓实抓好，以高质量文化供给增强人民群众的文化获得感、幸福感。截止目前，我县有1个图书馆，1个文化馆，1个美术馆，1个省级重点文物保护单位岁圆楼，12个乡镇（管理局）综合文化站，114个农家书屋。</w:t>
            </w:r>
          </w:p>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ind w:firstLine="2640" w:firstLineChars="1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w:t>
            </w:r>
          </w:p>
          <w:p>
            <w:pPr>
              <w:spacing w:beforeLines="0" w:afterLines="0"/>
              <w:jc w:val="center"/>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eastAsiaTheme="minorEastAsia"/>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万巍</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color w:val="000000"/>
          <w:sz w:val="24"/>
          <w:szCs w:val="24"/>
          <w:lang w:val="en-US" w:eastAsia="zh-CN"/>
        </w:rPr>
        <w:t>7723669</w:t>
      </w:r>
      <w:bookmarkStart w:id="0" w:name="_GoBack"/>
      <w:bookmarkEnd w:id="0"/>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蒋艺</w:t>
      </w: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Cs w:val="21"/>
                <w:lang w:val="en-US" w:eastAsia="zh-CN"/>
              </w:rPr>
              <w:t>双牌县</w:t>
            </w:r>
            <w:r>
              <w:rPr>
                <w:rFonts w:hint="eastAsia" w:ascii="Times New Roman" w:hAnsi="Times New Roman" w:eastAsia="仿宋_GB2312" w:cs="Times New Roman"/>
                <w:color w:val="000000"/>
                <w:kern w:val="0"/>
                <w:szCs w:val="21"/>
                <w:lang w:eastAsia="zh-CN"/>
              </w:rPr>
              <w:t>公共文化服务体系建设补助资金</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szCs w:val="21"/>
                <w:lang w:val="en-US" w:eastAsia="zh-CN"/>
              </w:rPr>
              <w:t>湖南省财政厅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color w:val="000000"/>
                <w:kern w:val="0"/>
                <w:szCs w:val="21"/>
                <w:lang w:val="en-US" w:eastAsia="zh-CN"/>
              </w:rPr>
              <w:t>双牌县文化旅游广电体育局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420" w:firstLineChars="20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heme="minorBidi"/>
                <w:color w:val="000000"/>
                <w:kern w:val="0"/>
                <w:sz w:val="21"/>
                <w:szCs w:val="21"/>
                <w:lang w:val="en-US" w:eastAsia="zh-CN" w:bidi="ar-SA"/>
              </w:rPr>
              <w:t>健全基层公共文化服务体系，推进全县创建国家公共文化服务体系建设，通过补短板建设，进一步丰富广大群众精神文化生活。</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pStyle w:val="2"/>
              <w:ind w:firstLine="420" w:firstLineChars="200"/>
              <w:rPr>
                <w:rFonts w:hint="eastAsia" w:ascii="Times New Roman" w:hAnsi="Times New Roman" w:eastAsia="仿宋_GB2312" w:cstheme="minorBidi"/>
                <w:color w:val="000000"/>
                <w:kern w:val="0"/>
                <w:sz w:val="21"/>
                <w:szCs w:val="21"/>
                <w:lang w:val="en-US" w:eastAsia="zh-CN" w:bidi="ar-SA"/>
              </w:rPr>
            </w:pPr>
            <w:r>
              <w:rPr>
                <w:rFonts w:hint="eastAsia" w:ascii="Times New Roman" w:hAnsi="Times New Roman" w:eastAsia="仿宋_GB2312" w:cstheme="minorBidi"/>
                <w:color w:val="000000"/>
                <w:kern w:val="0"/>
                <w:sz w:val="21"/>
                <w:szCs w:val="21"/>
                <w:lang w:val="en-US" w:eastAsia="zh-CN" w:bidi="ar-SA"/>
              </w:rPr>
              <w:t>通过公共文化服务体系建设的完善和提升，不断提高公共文化服务水平，营造了良好的农村文化活动氛围，保障了基层群众基本文化权益，群众满意度逐年提升。</w:t>
            </w: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宋体" w:hAnsi="宋体" w:eastAsia="宋体" w:cs="宋体"/>
                <w:i w:val="0"/>
                <w:iCs w:val="0"/>
                <w:color w:val="000000"/>
                <w:kern w:val="0"/>
                <w:sz w:val="21"/>
                <w:szCs w:val="21"/>
                <w:u w:val="none"/>
                <w:lang w:val="en-US" w:eastAsia="zh-CN" w:bidi="ar"/>
              </w:rPr>
              <w:t>资金使用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00" w:firstLineChars="100"/>
              <w:jc w:val="left"/>
              <w:rPr>
                <w:rFonts w:hint="default" w:asciiTheme="minorEastAsia" w:hAnsiTheme="minorEastAsia" w:eastAsiaTheme="minorEastAsia" w:cstheme="minorEastAsia"/>
                <w:color w:val="000000"/>
                <w:sz w:val="24"/>
                <w:szCs w:val="24"/>
                <w:lang w:val="en-US" w:eastAsia="zh-CN"/>
              </w:rPr>
            </w:pP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00" w:firstLineChars="100"/>
              <w:jc w:val="left"/>
              <w:rPr>
                <w:rFonts w:hint="default" w:asciiTheme="minorEastAsia" w:hAnsiTheme="minorEastAsia" w:eastAsiaTheme="minorEastAsia" w:cstheme="minorEastAsia"/>
                <w:color w:val="000000"/>
                <w:sz w:val="24"/>
                <w:szCs w:val="24"/>
                <w:lang w:val="en-US" w:eastAsia="zh-CN"/>
              </w:rPr>
            </w:pP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rPr>
            </w:pPr>
            <w:r>
              <w:rPr>
                <w:rFonts w:hint="eastAsia"/>
              </w:rPr>
              <w:t>社会成本</w:t>
            </w:r>
          </w:p>
          <w:p>
            <w:pPr>
              <w:spacing w:beforeLines="0" w:afterLines="0"/>
              <w:jc w:val="center"/>
              <w:rPr>
                <w:rFonts w:hint="eastAsia" w:asciiTheme="minorEastAsia" w:hAnsiTheme="minorEastAsia" w:eastAsiaTheme="minorEastAsia" w:cstheme="minorEastAsia"/>
                <w:color w:val="000000"/>
                <w:sz w:val="24"/>
                <w:szCs w:val="24"/>
              </w:rPr>
            </w:pPr>
            <w:r>
              <w:rPr>
                <w:rFonts w:hint="eastAsia"/>
              </w:rPr>
              <w:t>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eastAsia="仿宋_GB2312"/>
                <w:color w:val="000000"/>
                <w:kern w:val="0"/>
                <w:szCs w:val="21"/>
              </w:rPr>
              <w:t>贫困地区送戏下乡场次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default" w:asciiTheme="minorEastAsia" w:hAnsiTheme="minorEastAsia" w:eastAsiaTheme="minorEastAsia" w:cstheme="minorEastAsia"/>
                <w:color w:val="000000"/>
                <w:kern w:val="0"/>
                <w:sz w:val="24"/>
                <w:szCs w:val="24"/>
                <w:lang w:val="en-US" w:eastAsia="zh-CN"/>
              </w:rPr>
            </w:pPr>
            <w:r>
              <w:rPr>
                <w:rFonts w:hint="eastAsia" w:eastAsia="仿宋_GB2312"/>
                <w:color w:val="000000"/>
                <w:kern w:val="0"/>
                <w:szCs w:val="21"/>
              </w:rPr>
              <w:t>50场</w:t>
            </w:r>
            <w:r>
              <w:rPr>
                <w:rFonts w:eastAsia="仿宋_GB2312"/>
                <w:color w:val="000000"/>
                <w:kern w:val="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default" w:asciiTheme="minorEastAsia" w:hAnsiTheme="minorEastAsia" w:eastAsiaTheme="minorEastAsia" w:cstheme="minorEastAsia"/>
                <w:color w:val="000000"/>
                <w:kern w:val="0"/>
                <w:sz w:val="24"/>
                <w:szCs w:val="24"/>
                <w:lang w:val="en-US"/>
              </w:rPr>
            </w:pPr>
            <w:r>
              <w:rPr>
                <w:rFonts w:hint="eastAsia" w:eastAsia="仿宋_GB2312"/>
                <w:color w:val="000000"/>
                <w:kern w:val="0"/>
                <w:szCs w:val="21"/>
              </w:rPr>
              <w:t>50场</w:t>
            </w:r>
            <w:r>
              <w:rPr>
                <w:rFonts w:eastAsia="仿宋_GB2312"/>
                <w:color w:val="000000"/>
                <w:kern w:val="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eastAsia="仿宋_GB2312"/>
                <w:color w:val="000000"/>
                <w:kern w:val="0"/>
                <w:szCs w:val="21"/>
              </w:rPr>
              <w:t>农村公益电影放映次数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eastAsia="仿宋_GB2312"/>
                <w:color w:val="000000"/>
                <w:kern w:val="0"/>
                <w:szCs w:val="21"/>
                <w:lang w:val="en-US" w:eastAsia="zh-CN"/>
              </w:rPr>
              <w:t>1368</w:t>
            </w:r>
            <w:r>
              <w:rPr>
                <w:rFonts w:hint="eastAsia" w:asciiTheme="minorEastAsia" w:hAnsiTheme="minorEastAsia" w:eastAsiaTheme="minorEastAsia" w:cstheme="minorEastAsia"/>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eastAsia="仿宋_GB2312"/>
                <w:color w:val="000000"/>
                <w:kern w:val="0"/>
                <w:szCs w:val="21"/>
                <w:lang w:val="en-US" w:eastAsia="zh-CN"/>
              </w:rPr>
              <w:t>1368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资金使用合规性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r>
              <w:rPr>
                <w:rFonts w:hint="eastAsia" w:asciiTheme="minorEastAsia" w:hAnsiTheme="minorEastAsia" w:eastAsiaTheme="minorEastAsia" w:cstheme="minorEastAsia"/>
                <w:color w:val="000000"/>
                <w:kern w:val="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在202</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年12月31日前完成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在202</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年12月31日前完成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资金使用率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r>
              <w:rPr>
                <w:rFonts w:hint="eastAsia" w:asciiTheme="minorEastAsia" w:hAnsiTheme="minorEastAsia" w:eastAsiaTheme="minorEastAsia" w:cstheme="minorEastAsia"/>
                <w:color w:val="000000"/>
                <w:kern w:val="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生态效益明显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提升居民业余娱乐水平</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提升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95%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Theme="minorEastAsia"/>
          <w:sz w:val="22"/>
          <w:szCs w:val="24"/>
          <w:lang w:val="en-US" w:eastAsia="zh-CN"/>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万巍</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color w:val="000000"/>
          <w:sz w:val="24"/>
          <w:szCs w:val="24"/>
          <w:lang w:val="en-US" w:eastAsia="zh-CN"/>
        </w:rPr>
        <w:t>7723669</w:t>
      </w:r>
      <w:r>
        <w:rPr>
          <w:rFonts w:hint="eastAsia" w:asciiTheme="minorEastAsia" w:hAnsiTheme="minorEastAsia" w:eastAsiaTheme="minorEastAsia" w:cstheme="minorEastAsia"/>
          <w:sz w:val="24"/>
          <w:szCs w:val="24"/>
        </w:rPr>
        <w:t xml:space="preserve">       单位负责人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蒋艺</w:t>
      </w: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bidi w:val="0"/>
        <w:rPr>
          <w:rFonts w:hint="default"/>
        </w:rPr>
      </w:pPr>
    </w:p>
    <w:p>
      <w:pPr>
        <w:bidi w:val="0"/>
        <w:rPr>
          <w:rFonts w:hint="default"/>
        </w:rPr>
      </w:pPr>
    </w:p>
    <w:p>
      <w:pPr>
        <w:bidi w:val="0"/>
        <w:rPr>
          <w:rFonts w:hint="default"/>
        </w:rPr>
      </w:pPr>
    </w:p>
    <w:p>
      <w:pPr>
        <w:pStyle w:val="2"/>
        <w:rPr>
          <w:rFonts w:hint="default" w:eastAsia="黑体"/>
          <w:sz w:val="32"/>
          <w:szCs w:val="24"/>
        </w:rPr>
      </w:pPr>
    </w:p>
    <w:sectPr>
      <w:footerReference r:id="rId5" w:type="default"/>
      <w:footerReference r:id="rId6"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BoBLJAQAAegMAAA4AAABkcnMv&#10;ZTJvRG9jLnhtbK1TS44TMRDdI3EHy3viToR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IGgEskBAAB6AwAADgAAAAAA&#10;AAABACAAAAA0AQAAZHJzL2Uyb0RvYy54bWxQSwUGAAAAAAYABgBZAQAAbwUAAAAA&#10;">
              <v:fill on="f" focussize="0,0"/>
              <v:stroke on="f"/>
              <v:imagedata o:title=""/>
              <o:lock v:ext="edit" aspectratio="f"/>
              <v:textbox inset="0mm,0mm,0mm,0mm" style="mso-fit-shape-to-text:t;">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cdvZpywEAAHoDAAAOAAAA&#10;AAAAAAEAIAAAADQBAABkcnMvZTJvRG9jLnhtbFBLBQYAAAAABgAGAFkBAABxBQAAAAA=&#10;">
              <v:fill on="f" focussize="0,0"/>
              <v:stroke on="f"/>
              <v:imagedata o:title=""/>
              <o:lock v:ext="edit" aspectratio="f"/>
              <v:textbox inset="0mm,0mm,0mm,0mm" style="mso-fit-shape-to-text:t;">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078FF"/>
    <w:multiLevelType w:val="singleLevel"/>
    <w:tmpl w:val="8B6078FF"/>
    <w:lvl w:ilvl="0" w:tentative="0">
      <w:start w:val="2"/>
      <w:numFmt w:val="chineseCounting"/>
      <w:suff w:val="nothing"/>
      <w:lvlText w:val="（%1）"/>
      <w:lvlJc w:val="left"/>
      <w:rPr>
        <w:rFonts w:hint="eastAsia"/>
      </w:rPr>
    </w:lvl>
  </w:abstractNum>
  <w:abstractNum w:abstractNumId="1">
    <w:nsid w:val="8F911812"/>
    <w:multiLevelType w:val="singleLevel"/>
    <w:tmpl w:val="8F911812"/>
    <w:lvl w:ilvl="0" w:tentative="0">
      <w:start w:val="1"/>
      <w:numFmt w:val="chineseCounting"/>
      <w:suff w:val="nothing"/>
      <w:lvlText w:val="（%1）"/>
      <w:lvlJc w:val="left"/>
      <w:pPr>
        <w:ind w:left="-13"/>
      </w:pPr>
      <w:rPr>
        <w:rFonts w:hint="eastAsia"/>
        <w:b/>
        <w:bCs/>
      </w:rPr>
    </w:lvl>
  </w:abstractNum>
  <w:abstractNum w:abstractNumId="2">
    <w:nsid w:val="026F017A"/>
    <w:multiLevelType w:val="multilevel"/>
    <w:tmpl w:val="026F01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7776E4"/>
    <w:multiLevelType w:val="multilevel"/>
    <w:tmpl w:val="2D7776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B009FA"/>
    <w:multiLevelType w:val="singleLevel"/>
    <w:tmpl w:val="41B009FA"/>
    <w:lvl w:ilvl="0" w:tentative="0">
      <w:start w:val="4"/>
      <w:numFmt w:val="chineseCounting"/>
      <w:suff w:val="nothing"/>
      <w:lvlText w:val="%1、"/>
      <w:lvlJc w:val="left"/>
      <w:rPr>
        <w:rFonts w:hint="eastAsia"/>
      </w:rPr>
    </w:lvl>
  </w:abstractNum>
  <w:abstractNum w:abstractNumId="5">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764B1CE5"/>
    <w:multiLevelType w:val="singleLevel"/>
    <w:tmpl w:val="764B1CE5"/>
    <w:lvl w:ilvl="0" w:tentative="0">
      <w:start w:val="1"/>
      <w:numFmt w:val="chineseCounting"/>
      <w:suff w:val="nothing"/>
      <w:lvlText w:val="%1、"/>
      <w:lvlJc w:val="left"/>
      <w:rPr>
        <w:rFonts w:hint="eastAsia"/>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CCE5073"/>
    <w:rsid w:val="0FBF4D53"/>
    <w:rsid w:val="101F3C57"/>
    <w:rsid w:val="105E064F"/>
    <w:rsid w:val="154B3473"/>
    <w:rsid w:val="15B02F86"/>
    <w:rsid w:val="17BCCEE9"/>
    <w:rsid w:val="1BCE59A7"/>
    <w:rsid w:val="1D5E5630"/>
    <w:rsid w:val="1E994DAE"/>
    <w:rsid w:val="1F9C1D8C"/>
    <w:rsid w:val="20BA3D5C"/>
    <w:rsid w:val="20FE29CD"/>
    <w:rsid w:val="213827F6"/>
    <w:rsid w:val="22C2510B"/>
    <w:rsid w:val="24756501"/>
    <w:rsid w:val="2AF82401"/>
    <w:rsid w:val="31EF3498"/>
    <w:rsid w:val="33457B5A"/>
    <w:rsid w:val="33EA0D37"/>
    <w:rsid w:val="35F26FC0"/>
    <w:rsid w:val="38EA5012"/>
    <w:rsid w:val="3DFB432B"/>
    <w:rsid w:val="41A60F90"/>
    <w:rsid w:val="437042B4"/>
    <w:rsid w:val="43D25C86"/>
    <w:rsid w:val="47FF7E2A"/>
    <w:rsid w:val="4A7E5437"/>
    <w:rsid w:val="4B490F32"/>
    <w:rsid w:val="4B564457"/>
    <w:rsid w:val="4C575977"/>
    <w:rsid w:val="4DF30F3A"/>
    <w:rsid w:val="4E8B7C40"/>
    <w:rsid w:val="4F1637A4"/>
    <w:rsid w:val="4FC15B60"/>
    <w:rsid w:val="500F1BD2"/>
    <w:rsid w:val="51C40746"/>
    <w:rsid w:val="543E6CC0"/>
    <w:rsid w:val="55412274"/>
    <w:rsid w:val="55C03679"/>
    <w:rsid w:val="57C446E9"/>
    <w:rsid w:val="57EE2CDC"/>
    <w:rsid w:val="58820FB8"/>
    <w:rsid w:val="5ABA52A9"/>
    <w:rsid w:val="5C8E01AF"/>
    <w:rsid w:val="603C196C"/>
    <w:rsid w:val="61896491"/>
    <w:rsid w:val="62BE6D8B"/>
    <w:rsid w:val="64E742EF"/>
    <w:rsid w:val="684B0AD7"/>
    <w:rsid w:val="6E351362"/>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3">
    <w:name w:val="Body Text Indent"/>
    <w:basedOn w:val="1"/>
    <w:qFormat/>
    <w:uiPriority w:val="0"/>
    <w:pPr>
      <w:spacing w:after="120"/>
      <w:ind w:left="420" w:leftChars="200"/>
    </w:p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3"/>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8206</Words>
  <Characters>9048</Characters>
  <Lines>0</Lines>
  <Paragraphs>0</Paragraphs>
  <TotalTime>0</TotalTime>
  <ScaleCrop>false</ScaleCrop>
  <LinksUpToDate>false</LinksUpToDate>
  <CharactersWithSpaces>9277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2025-09-15T17:28:33Z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1FCF2E90C0DF44D38A4473D3389683B0_13</vt:lpwstr>
  </property>
  <property fmtid="{D5CDD505-2E9C-101B-9397-08002B2CF9AE}" pid="4" name="KSOTemplateDocerSaveRecord">
    <vt:lpwstr>eyJoZGlkIjoiZjg2ODM5ZmQzZGZlZThjODdlNmUxY2I0NmJkMjBmMjAifQ==</vt:lpwstr>
  </property>
</Properties>
</file>