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旅游发展服务中心</w:t>
      </w:r>
      <w:r>
        <w:rPr>
          <w:rFonts w:hint="eastAsia" w:ascii="方正小标宋简体" w:eastAsia="方正小标宋简体"/>
          <w:sz w:val="52"/>
          <w:szCs w:val="24"/>
        </w:rPr>
        <w:t>部门整体支出绩效自评报告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旅游发展服务中心</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19</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pStyle w:val="3"/>
        <w:framePr/>
        <w:numPr>
          <w:ilvl w:val="0"/>
          <w:numId w:val="0"/>
        </w:numPr>
        <w:rPr>
          <w:rFonts w:hint="eastAsia"/>
        </w:rPr>
      </w:pPr>
    </w:p>
    <w:p>
      <w:pPr>
        <w:snapToGrid w:val="0"/>
        <w:spacing w:line="520" w:lineRule="exact"/>
        <w:ind w:firstLine="642"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、负责做好旅游建设项目的编制、申报和组织实施的事务工作；参与旅游重点项目建设宏观指导；指导新兴旅游业态的项目建设、产品开发；负责指导旅游商品的科研与开发。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、负责旅游业发展的综合协调；协调全县旅游环境和基础设施、旅游交通、商贸购物、餐饮、住宿、旅游文化娱乐等各类资源的整合、优化配置与规划指导。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、负责全县旅游综合服务体系建设的事务工作，建立旅游公共信息和咨询平台，建立健全旅游集散体系、咨询服务体系，推进旅游信息化建设，强化旅游目的地的综合服务功能。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、负责或者参与旅游发展资金的管理、使用工作；协助县发展和改革局审核、审批国家、省、市、县下达的旅游业发展资金的投资立项工作；负责全县旅游业利用外资和社会资本的服务工作。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、负责全县旅游资源普查、开发、评估的事务性工作。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、研究制定国际国内旅游市场开发战略，负责收集、研究并发布国内外旅游市场动态信息。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、负责全县旅游整体形象宣传和重大推广活动的事务工作，培育旅游品牌；负责编制全县旅游营销推广方案并组织实施；指导编制全县各类旅游宣传资料。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、组织协调全县旅游节庆活动；组织实施全县旅游产品的开发工作；负责旅游业的对外交流工作。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、负责做好对星级宾馆（饭店）、景区（点）、乡村旅游区（点）、旅行社（营业部）、精品民宿等旅游企业进行等级评定及申报的组织和指导工作；负责旅游行业精神文明和诚信体系建设的事务工作。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、促进旅游国际化与新型工业化、新型农业化、新型城镇化、服务业现代化的融合发展，研究推进旅游产业与相关产业融合发展、促进旅游产业结构调整、扶持新兴旅游业的对策措施。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11</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、承办县委、县人民政府交办的其他工作和上级主管部门交办的职责范围内相关旅游服务性工作。 </w:t>
      </w:r>
    </w:p>
    <w:p>
      <w:pPr>
        <w:pStyle w:val="4"/>
        <w:shd w:val="clear" w:color="auto" w:fill="FFFFFF"/>
        <w:spacing w:before="0" w:beforeAutospacing="0" w:after="0" w:afterAutospacing="0" w:line="456"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根据县编办（双编办发[2019]1号）核定，双牌县旅游发展服务中心为县文化旅游广电体育局所属正科级公益一类全额拨款事业单位。全额事业编制10名，实有在职人员</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rPr>
        <w:t xml:space="preserve">名。内设股室3个，分别是办公室、行业规划股、市场营销股。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3．人员情况。</w:t>
      </w:r>
    </w:p>
    <w:p>
      <w:pPr>
        <w:pStyle w:val="9"/>
        <w:numPr>
          <w:ilvl w:val="0"/>
          <w:numId w:val="0"/>
        </w:numPr>
        <w:spacing w:beforeLines="0" w:afterLines="0" w:line="570" w:lineRule="exact"/>
        <w:ind w:left="640" w:leftChars="0"/>
        <w:outlineLvl w:val="0"/>
        <w:rPr>
          <w:rFonts w:hint="eastAsia" w:ascii="Times New Roman" w:hAnsi="Times New Roman" w:eastAsia="黑体"/>
          <w:sz w:val="32"/>
          <w:szCs w:val="24"/>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年本单位年未实有人数</w:t>
      </w:r>
      <w:r>
        <w:rPr>
          <w:rFonts w:hint="eastAsia" w:ascii="仿宋_GB2312" w:hAnsi="仿宋" w:eastAsia="仿宋_GB2312"/>
          <w:sz w:val="32"/>
          <w:szCs w:val="32"/>
          <w:lang w:val="en-US" w:eastAsia="zh-CN"/>
        </w:rPr>
        <w:t>9</w:t>
      </w:r>
      <w:r>
        <w:rPr>
          <w:rFonts w:hint="eastAsia" w:ascii="仿宋_GB2312" w:hAnsi="仿宋" w:eastAsia="仿宋_GB2312"/>
          <w:sz w:val="32"/>
          <w:szCs w:val="32"/>
        </w:rPr>
        <w:t>人，比上年</w:t>
      </w:r>
      <w:r>
        <w:rPr>
          <w:rFonts w:hint="eastAsia" w:ascii="仿宋_GB2312" w:hAnsi="仿宋" w:eastAsia="仿宋_GB2312"/>
          <w:sz w:val="32"/>
          <w:szCs w:val="32"/>
          <w:lang w:val="en-US" w:eastAsia="zh-CN"/>
        </w:rPr>
        <w:t>增加1</w:t>
      </w:r>
      <w:r>
        <w:rPr>
          <w:rFonts w:hint="eastAsia" w:ascii="仿宋_GB2312" w:hAnsi="仿宋" w:eastAsia="仿宋_GB2312"/>
          <w:sz w:val="32"/>
          <w:szCs w:val="32"/>
        </w:rPr>
        <w:t>人。人员变化的主要原因是：</w:t>
      </w:r>
      <w:r>
        <w:rPr>
          <w:rFonts w:hint="eastAsia" w:ascii="仿宋_GB2312" w:hAnsi="仿宋" w:eastAsia="仿宋_GB2312"/>
          <w:sz w:val="32"/>
          <w:szCs w:val="32"/>
          <w:lang w:val="en-US" w:eastAsia="zh-CN"/>
        </w:rPr>
        <w:t>单位机构改革，人员信息变动</w:t>
      </w:r>
      <w:r>
        <w:rPr>
          <w:rFonts w:hint="eastAsia" w:ascii="仿宋_GB2312" w:hAnsi="仿宋" w:eastAsia="仿宋_GB2312"/>
          <w:sz w:val="32"/>
          <w:szCs w:val="32"/>
        </w:rPr>
        <w:t>。</w:t>
      </w:r>
    </w:p>
    <w:p>
      <w:pPr>
        <w:pStyle w:val="9"/>
        <w:numPr>
          <w:ilvl w:val="0"/>
          <w:numId w:val="1"/>
        </w:numPr>
        <w:spacing w:beforeLines="0" w:afterLines="0" w:line="570" w:lineRule="exact"/>
        <w:ind w:left="640" w:leftChars="0" w:firstLine="0" w:firstLineChars="0"/>
        <w:outlineLvl w:val="0"/>
        <w:rPr>
          <w:rFonts w:hint="default" w:ascii="Times New Roman" w:hAnsi="Times New Roman" w:eastAsia="黑体"/>
          <w:sz w:val="32"/>
          <w:szCs w:val="24"/>
        </w:rPr>
      </w:pPr>
      <w:r>
        <w:rPr>
          <w:rFonts w:hint="eastAsia" w:ascii="Times New Roman" w:hAnsi="Times New Roman" w:eastAsia="黑体"/>
          <w:sz w:val="32"/>
          <w:szCs w:val="24"/>
        </w:rPr>
        <w:t>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widowControl/>
        <w:spacing w:line="600" w:lineRule="exact"/>
        <w:ind w:firstLine="643"/>
        <w:rPr>
          <w:rFonts w:hint="default" w:ascii="Times New Roman" w:hAnsi="Times New Roman" w:eastAsia="仿宋_GB2312" w:cs="Times New Roman"/>
          <w:b/>
          <w:sz w:val="32"/>
          <w:szCs w:val="32"/>
          <w:lang w:val="en-US" w:eastAsia="zh-CN"/>
        </w:rPr>
      </w:pPr>
      <w:r>
        <w:rPr>
          <w:rFonts w:hint="eastAsia" w:ascii="仿宋_GB2312" w:hAnsi="仿宋" w:eastAsia="仿宋_GB2312" w:cs="仿宋"/>
          <w:color w:val="000000"/>
          <w:sz w:val="32"/>
          <w:szCs w:val="32"/>
        </w:rPr>
        <w:t>单位本年度实际收到的财政拨款收入</w:t>
      </w:r>
      <w:r>
        <w:rPr>
          <w:rFonts w:hint="eastAsia" w:ascii="仿宋_GB2312" w:eastAsia="仿宋_GB2312" w:cs="Times New Roman"/>
          <w:color w:val="000000"/>
          <w:sz w:val="32"/>
          <w:szCs w:val="32"/>
          <w:u w:val="single"/>
        </w:rPr>
        <w:t> </w:t>
      </w:r>
      <w:r>
        <w:rPr>
          <w:rFonts w:hint="eastAsia" w:ascii="仿宋_GB2312" w:hAnsi="仿宋" w:eastAsia="仿宋_GB2312" w:cs="仿宋"/>
          <w:color w:val="000000"/>
          <w:sz w:val="32"/>
          <w:szCs w:val="32"/>
          <w:u w:val="single"/>
          <w:lang w:val="en-US" w:eastAsia="zh-CN"/>
        </w:rPr>
        <w:t>92.791948</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92.791948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其中基本支出87.310748万，占</w:t>
      </w:r>
      <w:r>
        <w:rPr>
          <w:rFonts w:hint="default" w:ascii="仿宋" w:hAnsi="仿宋" w:eastAsia="仿宋"/>
          <w:sz w:val="32"/>
          <w:lang w:val="en-US"/>
        </w:rPr>
        <w:t>总支出的</w:t>
      </w:r>
      <w:r>
        <w:rPr>
          <w:rFonts w:hint="eastAsia" w:ascii="仿宋" w:hAnsi="仿宋" w:eastAsia="仿宋"/>
          <w:sz w:val="32"/>
          <w:szCs w:val="22"/>
          <w:lang w:val="en-US" w:eastAsia="zh-CN"/>
        </w:rPr>
        <w:t>94.09%。</w:t>
      </w:r>
    </w:p>
    <w:p>
      <w:pPr>
        <w:pStyle w:val="9"/>
        <w:numPr>
          <w:ilvl w:val="0"/>
          <w:numId w:val="2"/>
        </w:numPr>
        <w:spacing w:beforeLines="0" w:afterLines="0" w:line="570" w:lineRule="exact"/>
        <w:ind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numPr>
          <w:ilvl w:val="0"/>
          <w:numId w:val="0"/>
        </w:numPr>
        <w:spacing w:beforeLines="0" w:afterLines="0" w:line="570" w:lineRule="exact"/>
        <w:ind w:firstLine="640" w:firstLineChars="200"/>
        <w:outlineLvl w:val="1"/>
        <w:rPr>
          <w:rFonts w:hint="eastAsia" w:ascii="Times New Roman" w:hAnsi="Times New Roman" w:eastAsia="仿宋_GB2312"/>
          <w:sz w:val="32"/>
          <w:szCs w:val="24"/>
        </w:rPr>
      </w:pPr>
      <w:r>
        <w:rPr>
          <w:rFonts w:hint="eastAsia" w:ascii="仿宋_GB2312" w:hAnsi="仿宋" w:eastAsia="仿宋_GB2312" w:cs="仿宋"/>
          <w:color w:val="000000"/>
          <w:sz w:val="32"/>
          <w:szCs w:val="32"/>
        </w:rPr>
        <w:t>单位本年度实际收到的财政拨款收入</w:t>
      </w:r>
      <w:r>
        <w:rPr>
          <w:rFonts w:hint="eastAsia" w:ascii="仿宋_GB2312" w:hAnsi="仿宋" w:eastAsia="仿宋_GB2312" w:cs="仿宋"/>
          <w:color w:val="000000"/>
          <w:sz w:val="32"/>
          <w:szCs w:val="32"/>
          <w:u w:val="single"/>
          <w:lang w:val="en-US" w:eastAsia="zh-CN"/>
        </w:rPr>
        <w:t>92.791948</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92.791948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项目支出5.4812万，占</w:t>
      </w:r>
      <w:r>
        <w:rPr>
          <w:rFonts w:hint="default" w:ascii="仿宋" w:hAnsi="仿宋" w:eastAsia="仿宋"/>
          <w:sz w:val="32"/>
          <w:lang w:val="en-US"/>
        </w:rPr>
        <w:t>总支出的</w:t>
      </w:r>
      <w:r>
        <w:rPr>
          <w:rFonts w:hint="eastAsia" w:ascii="仿宋" w:hAnsi="仿宋" w:eastAsia="仿宋"/>
          <w:sz w:val="32"/>
          <w:lang w:val="en-US" w:eastAsia="zh-CN"/>
        </w:rPr>
        <w:t>5.9%。</w:t>
      </w:r>
    </w:p>
    <w:p>
      <w:pPr>
        <w:pStyle w:val="9"/>
        <w:numPr>
          <w:ilvl w:val="0"/>
          <w:numId w:val="0"/>
        </w:numPr>
        <w:spacing w:beforeLines="0" w:afterLines="0" w:line="570" w:lineRule="exact"/>
        <w:ind w:left="640" w:leftChars="0"/>
        <w:jc w:val="left"/>
        <w:outlineLvl w:val="0"/>
        <w:rPr>
          <w:rFonts w:hint="default" w:ascii="Times New Roman" w:hAnsi="Times New Roman" w:eastAsia="黑体" w:cs="Times New Roman"/>
          <w:sz w:val="32"/>
          <w:szCs w:val="32"/>
        </w:rPr>
      </w:pPr>
      <w:r>
        <w:rPr>
          <w:rFonts w:hint="eastAsia" w:ascii="Times New Roman" w:hAnsi="Times New Roman" w:eastAsia="黑体"/>
          <w:sz w:val="32"/>
          <w:szCs w:val="24"/>
          <w:lang w:val="en-US" w:eastAsia="zh-CN"/>
        </w:rPr>
        <w:t>三、</w:t>
      </w:r>
      <w:r>
        <w:rPr>
          <w:rFonts w:hint="eastAsia" w:ascii="Times New Roman" w:hAnsi="Times New Roman" w:eastAsia="黑体"/>
          <w:sz w:val="32"/>
          <w:szCs w:val="24"/>
        </w:rPr>
        <w:t>政府性基金预算支出情况。</w:t>
      </w:r>
    </w:p>
    <w:p>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Times New Roman" w:hAnsi="Times New Roman" w:eastAsia="黑体"/>
          <w:sz w:val="32"/>
          <w:szCs w:val="24"/>
          <w:lang w:val="en-US" w:eastAsia="zh-CN"/>
        </w:rPr>
        <w:t>四、</w:t>
      </w:r>
      <w:r>
        <w:rPr>
          <w:rFonts w:hint="eastAsia" w:ascii="Times New Roman" w:hAnsi="Times New Roman" w:eastAsia="黑体"/>
          <w:sz w:val="32"/>
          <w:szCs w:val="24"/>
        </w:rPr>
        <w:t>国有资本经营预算支出情况。</w:t>
      </w:r>
    </w:p>
    <w:p>
      <w:pPr>
        <w:pStyle w:val="9"/>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五、</w:t>
      </w:r>
      <w:r>
        <w:rPr>
          <w:rFonts w:hint="eastAsia" w:ascii="Times New Roman" w:hAnsi="Times New Roman" w:eastAsia="黑体"/>
          <w:sz w:val="32"/>
          <w:szCs w:val="24"/>
        </w:rPr>
        <w:t>社会保险基金预算支出情况。</w:t>
      </w:r>
    </w:p>
    <w:p>
      <w:pPr>
        <w:pStyle w:val="9"/>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eastAsia" w:eastAsia="黑体"/>
          <w:sz w:val="32"/>
          <w:szCs w:val="24"/>
        </w:rPr>
      </w:pPr>
      <w:r>
        <w:rPr>
          <w:rFonts w:hint="eastAsia" w:eastAsia="黑体"/>
          <w:sz w:val="32"/>
          <w:szCs w:val="24"/>
          <w:lang w:val="en-US" w:eastAsia="zh-CN"/>
        </w:rPr>
        <w:t>六</w:t>
      </w:r>
      <w:r>
        <w:rPr>
          <w:rFonts w:hint="eastAsia" w:eastAsia="黑体"/>
          <w:sz w:val="32"/>
          <w:szCs w:val="24"/>
        </w:rPr>
        <w:t>、部门整体支出绩效情况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（一）本单位财务管理、绩效管理、决算组织、编报、审核情况。</w:t>
      </w:r>
    </w:p>
    <w:p>
      <w:pPr>
        <w:snapToGrid w:val="0"/>
        <w:spacing w:line="520" w:lineRule="exact"/>
        <w:ind w:firstLine="640" w:firstLineChars="200"/>
        <w:rPr>
          <w:rFonts w:hint="eastAsia"/>
        </w:rPr>
      </w:pPr>
      <w:r>
        <w:rPr>
          <w:rFonts w:hint="eastAsia" w:ascii="仿宋" w:hAnsi="仿宋" w:eastAsia="仿宋"/>
          <w:sz w:val="32"/>
          <w:lang w:val="en-US" w:eastAsia="zh-CN"/>
        </w:rPr>
        <w:t>本单位对财务管理进行规范化，同财政部门及时沟通学习，积极进行财政部门组织的决算、编报、审核等方面工作按时完成，认真如实填报,决算报表全部通过审核。</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（二）本单位决算及绩效信息公开工作开展情况。</w:t>
      </w:r>
    </w:p>
    <w:p>
      <w:pPr>
        <w:numPr>
          <w:ilvl w:val="0"/>
          <w:numId w:val="0"/>
        </w:numPr>
        <w:snapToGrid/>
        <w:spacing w:beforeLines="0" w:afterLines="0" w:line="520" w:lineRule="exact"/>
        <w:ind w:firstLine="640" w:firstLineChars="200"/>
        <w:rPr>
          <w:rFonts w:hint="eastAsia"/>
        </w:rPr>
      </w:pPr>
      <w:r>
        <w:rPr>
          <w:rFonts w:hint="eastAsia" w:ascii="仿宋" w:hAnsi="仿宋" w:eastAsia="仿宋"/>
          <w:sz w:val="32"/>
          <w:lang w:val="en-US" w:eastAsia="zh-CN"/>
        </w:rPr>
        <w:t>本单位对决算公开工作、及主管部门对所属单位按规定批复决算的各项工作按规定认真执行，该填制及时填制，该公开及时公开，该上报及时上报。</w:t>
      </w:r>
    </w:p>
    <w:p>
      <w:pPr>
        <w:pStyle w:val="9"/>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widowControl/>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widowControl/>
        <w:numPr>
          <w:ilvl w:val="0"/>
          <w:numId w:val="0"/>
        </w:numPr>
        <w:spacing w:line="600" w:lineRule="exact"/>
        <w:ind w:firstLine="640" w:firstLineChars="200"/>
        <w:jc w:val="left"/>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无</w:t>
      </w:r>
    </w:p>
    <w:p>
      <w:pPr>
        <w:widowControl/>
        <w:numPr>
          <w:ilvl w:val="0"/>
          <w:numId w:val="0"/>
        </w:numPr>
        <w:spacing w:line="600" w:lineRule="exact"/>
        <w:ind w:firstLine="640" w:firstLineChars="200"/>
        <w:jc w:val="left"/>
        <w:rPr>
          <w:rFonts w:hint="eastAsia" w:ascii="仿宋" w:hAnsi="仿宋" w:eastAsia="仿宋" w:cs="Times New Roman"/>
          <w:kern w:val="2"/>
          <w:sz w:val="32"/>
          <w:szCs w:val="22"/>
          <w:lang w:val="en-US" w:eastAsia="zh-CN" w:bidi="ar-SA"/>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部门整体支出绩效自评结果拟应用和公开情况</w:t>
      </w:r>
    </w:p>
    <w:p>
      <w:pPr>
        <w:widowControl/>
        <w:spacing w:line="600" w:lineRule="exact"/>
        <w:ind w:firstLine="640" w:firstLineChars="200"/>
        <w:jc w:val="left"/>
        <w:rPr>
          <w:rFonts w:hint="default" w:ascii="Times New Roman" w:hAnsi="Times New Roman" w:eastAsia="黑体" w:cs="Times New Roman"/>
          <w:sz w:val="32"/>
          <w:szCs w:val="32"/>
        </w:rPr>
      </w:pPr>
      <w:r>
        <w:rPr>
          <w:rFonts w:hint="eastAsia" w:ascii="仿宋" w:hAnsi="仿宋" w:eastAsia="仿宋" w:cs="Times New Roman"/>
          <w:kern w:val="2"/>
          <w:sz w:val="32"/>
          <w:szCs w:val="22"/>
          <w:lang w:val="en-US" w:eastAsia="zh-CN" w:bidi="ar-SA"/>
        </w:rPr>
        <w:t>已公开</w:t>
      </w:r>
    </w:p>
    <w:p>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widowControl/>
        <w:spacing w:line="600" w:lineRule="exact"/>
        <w:ind w:firstLine="645"/>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spacing w:beforeLines="0" w:afterLines="0" w:line="570" w:lineRule="exact"/>
        <w:ind w:firstLine="645"/>
        <w:jc w:val="lef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tbl>
      <w:tblPr>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06"/>
        <w:gridCol w:w="1021"/>
        <w:gridCol w:w="1117"/>
        <w:gridCol w:w="1120"/>
        <w:gridCol w:w="901"/>
        <w:gridCol w:w="894"/>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54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财政供养人员情况</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编制数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2024年实际在职人数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1.6202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1.6555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1.6202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1.6555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5.201881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5.4812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5.4812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5.201881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5.4812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5.4812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25.39565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16.96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27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 xml:space="preserve">楼堂馆所控制情况 </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（2024年完工项目）</w:t>
            </w:r>
          </w:p>
        </w:tc>
        <w:tc>
          <w:tcPr>
            <w:tcW w:w="10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 xml:space="preserve">批复规模 </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实际规模</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规模控制率</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预算投资</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实际投资</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bl>
    <w:p>
      <w:pPr>
        <w:spacing w:beforeLines="0" w:after="120" w:afterLines="50" w:line="600" w:lineRule="exact"/>
        <w:rPr>
          <w:rFonts w:hint="default" w:eastAsia="黑体"/>
          <w:sz w:val="32"/>
          <w:szCs w:val="24"/>
        </w:rPr>
      </w:pPr>
    </w:p>
    <w:tbl>
      <w:tblPr>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0"/>
        <w:gridCol w:w="611"/>
        <w:gridCol w:w="1836"/>
        <w:gridCol w:w="810"/>
        <w:gridCol w:w="886"/>
        <w:gridCol w:w="893"/>
        <w:gridCol w:w="699"/>
        <w:gridCol w:w="566"/>
        <w:gridCol w:w="566"/>
        <w:gridCol w:w="578"/>
        <w:gridCol w:w="903"/>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66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bdr w:val="none" w:color="auto" w:sz="0" w:space="0"/>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预算部门名称</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永州市双牌县旅游发展服务中心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027"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Microsoft YaHei UI" w:hAnsi="Microsoft YaHei UI" w:eastAsia="Microsoft YaHei UI" w:cs="Microsoft YaHei UI"/>
                <w:i w:val="0"/>
                <w:color w:val="000000"/>
                <w:sz w:val="18"/>
                <w:szCs w:val="18"/>
                <w:u w:val="none"/>
              </w:rPr>
            </w:pP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年度预算申请</w:t>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br w:type="textWrapping"/>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(万元)</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年初预算数</w:t>
            </w:r>
            <w:r>
              <w:rPr>
                <w:rFonts w:hint="default" w:ascii="仿宋_GB2312" w:hAnsi="宋体" w:eastAsia="仿宋_GB2312" w:cs="仿宋_GB2312"/>
                <w:b/>
                <w:i w:val="0"/>
                <w:color w:val="000000"/>
                <w:kern w:val="0"/>
                <w:sz w:val="18"/>
                <w:szCs w:val="18"/>
                <w:u w:val="none"/>
                <w:bdr w:val="none" w:color="auto" w:sz="0" w:space="0"/>
                <w:lang w:val="en-US" w:eastAsia="zh-CN" w:bidi="ar"/>
              </w:rPr>
              <w:br w:type="textWrapping"/>
            </w:r>
            <w:r>
              <w:rPr>
                <w:rFonts w:hint="default" w:ascii="仿宋_GB2312" w:hAnsi="宋体" w:eastAsia="仿宋_GB2312" w:cs="仿宋_GB2312"/>
                <w:b/>
                <w:i w:val="0"/>
                <w:color w:val="000000"/>
                <w:kern w:val="0"/>
                <w:sz w:val="18"/>
                <w:szCs w:val="18"/>
                <w:u w:val="none"/>
                <w:bdr w:val="none" w:color="auto" w:sz="0" w:space="0"/>
                <w:lang w:val="en-US" w:eastAsia="zh-CN" w:bidi="ar"/>
              </w:rPr>
              <w:t>(万元)</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全年预算数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全年执行数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分值</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执行率</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02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年度资金总额：</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94.11</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18.25</w:t>
            </w: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15.58</w:t>
            </w: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85.36%</w:t>
            </w:r>
          </w:p>
        </w:tc>
        <w:tc>
          <w:tcPr>
            <w:tcW w:w="7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302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460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按收入性质分：</w:t>
            </w:r>
          </w:p>
        </w:tc>
        <w:tc>
          <w:tcPr>
            <w:tcW w:w="202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302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一般公共预算：</w:t>
            </w:r>
          </w:p>
        </w:tc>
        <w:tc>
          <w:tcPr>
            <w:tcW w:w="375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15.9</w:t>
            </w:r>
          </w:p>
        </w:tc>
        <w:tc>
          <w:tcPr>
            <w:tcW w:w="57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其中:基本支出：</w:t>
            </w:r>
          </w:p>
        </w:tc>
        <w:tc>
          <w:tcPr>
            <w:tcW w:w="145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02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政府性基金拨款：</w:t>
            </w:r>
          </w:p>
        </w:tc>
        <w:tc>
          <w:tcPr>
            <w:tcW w:w="375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w:t>
            </w:r>
          </w:p>
        </w:tc>
        <w:tc>
          <w:tcPr>
            <w:tcW w:w="57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45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302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纳入专户管理的非税收入拨款：</w:t>
            </w:r>
          </w:p>
        </w:tc>
        <w:tc>
          <w:tcPr>
            <w:tcW w:w="375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w:t>
            </w:r>
          </w:p>
        </w:tc>
        <w:tc>
          <w:tcPr>
            <w:tcW w:w="57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项目支出：</w:t>
            </w:r>
          </w:p>
        </w:tc>
        <w:tc>
          <w:tcPr>
            <w:tcW w:w="145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02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其他资金</w:t>
            </w:r>
          </w:p>
        </w:tc>
        <w:tc>
          <w:tcPr>
            <w:tcW w:w="375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2.35</w:t>
            </w:r>
          </w:p>
        </w:tc>
        <w:tc>
          <w:tcPr>
            <w:tcW w:w="57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45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027"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年度总体目标</w:t>
            </w:r>
          </w:p>
        </w:tc>
        <w:tc>
          <w:tcPr>
            <w:tcW w:w="460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预期目标</w:t>
            </w:r>
          </w:p>
        </w:tc>
        <w:tc>
          <w:tcPr>
            <w:tcW w:w="202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02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60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完成上年结转经费正常开支</w:t>
            </w:r>
          </w:p>
        </w:tc>
        <w:tc>
          <w:tcPr>
            <w:tcW w:w="2026"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绩效指标</w:t>
            </w:r>
          </w:p>
        </w:tc>
        <w:tc>
          <w:tcPr>
            <w:tcW w:w="9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二级指标</w:t>
            </w:r>
          </w:p>
        </w:tc>
        <w:tc>
          <w:tcPr>
            <w:tcW w:w="84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三级指标</w:t>
            </w:r>
          </w:p>
        </w:tc>
        <w:tc>
          <w:tcPr>
            <w:tcW w:w="88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年度指标值</w:t>
            </w:r>
          </w:p>
        </w:tc>
        <w:tc>
          <w:tcPr>
            <w:tcW w:w="89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实际完成值</w:t>
            </w:r>
          </w:p>
        </w:tc>
        <w:tc>
          <w:tcPr>
            <w:tcW w:w="6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评扣分标准</w:t>
            </w:r>
          </w:p>
        </w:tc>
        <w:tc>
          <w:tcPr>
            <w:tcW w:w="6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分值</w:t>
            </w:r>
          </w:p>
        </w:tc>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绩效指标</w:t>
            </w:r>
          </w:p>
        </w:tc>
        <w:tc>
          <w:tcPr>
            <w:tcW w:w="9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上年结转经费</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6.3002</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6.3002</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每未完成1万元，扣1分</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按年支出</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支出余额每1万扣1分</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项目时效</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超出本年，扣1分</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经济效益指标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完成上年结转经费正常开支</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未完成部分每5%扣1分</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生态效益指标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服务对象满意度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95</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95</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每不满意1%扣1分</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30</w:t>
            </w: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30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经济成本指标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上年结转经费</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每超出1%扣1分</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社会成本指标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生态环境成本指标</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总分</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98.54</w:t>
            </w:r>
          </w:p>
        </w:tc>
      </w:tr>
    </w:tbl>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bookmarkStart w:id="0" w:name="_GoBack"/>
      <w:bookmarkEnd w:id="0"/>
    </w:p>
    <w:p>
      <w:pPr>
        <w:spacing w:beforeLines="0" w:after="120" w:afterLines="50" w:line="600" w:lineRule="exact"/>
        <w:rPr>
          <w:rFonts w:hint="default" w:eastAsia="黑体"/>
          <w:sz w:val="32"/>
          <w:szCs w:val="24"/>
        </w:rPr>
      </w:pPr>
    </w:p>
    <w:tbl>
      <w:tblPr>
        <w:tblW w:w="9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72"/>
        <w:gridCol w:w="1468"/>
        <w:gridCol w:w="1469"/>
        <w:gridCol w:w="1087"/>
        <w:gridCol w:w="1020"/>
        <w:gridCol w:w="629"/>
        <w:gridCol w:w="634"/>
        <w:gridCol w:w="1004"/>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532"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项目支出名称</w:t>
            </w:r>
          </w:p>
        </w:tc>
        <w:tc>
          <w:tcPr>
            <w:tcW w:w="7967"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单位运转经费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53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7967"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3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主管部门</w:t>
            </w:r>
          </w:p>
        </w:tc>
        <w:tc>
          <w:tcPr>
            <w:tcW w:w="5232"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永州市双牌县文化旅游广电体育局</w:t>
            </w:r>
          </w:p>
        </w:tc>
        <w:tc>
          <w:tcPr>
            <w:tcW w:w="63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实施单位</w:t>
            </w:r>
          </w:p>
        </w:tc>
        <w:tc>
          <w:tcPr>
            <w:tcW w:w="2098" w:type="dxa"/>
            <w:gridSpan w:val="3"/>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永州市双牌县旅游发展服务中心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532"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项目资金(万元)</w:t>
            </w:r>
          </w:p>
        </w:tc>
        <w:tc>
          <w:tcPr>
            <w:tcW w:w="3059" w:type="dxa"/>
            <w:gridSpan w:val="2"/>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 xml:space="preserve">     资金来源</w:t>
            </w:r>
          </w:p>
        </w:tc>
        <w:tc>
          <w:tcPr>
            <w:tcW w:w="1122"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年初预算数</w:t>
            </w:r>
          </w:p>
        </w:tc>
        <w:tc>
          <w:tcPr>
            <w:tcW w:w="1051"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全年预算数</w:t>
            </w:r>
          </w:p>
        </w:tc>
        <w:tc>
          <w:tcPr>
            <w:tcW w:w="637" w:type="dxa"/>
            <w:vMerge w:val="restart"/>
            <w:tcBorders>
              <w:top w:val="single" w:color="000000" w:sz="8" w:space="0"/>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全年执行数</w:t>
            </w:r>
          </w:p>
        </w:tc>
        <w:tc>
          <w:tcPr>
            <w:tcW w:w="63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815"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执行率</w:t>
            </w:r>
          </w:p>
        </w:tc>
        <w:tc>
          <w:tcPr>
            <w:tcW w:w="644"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9"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122"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37"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3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15"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44"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9"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122"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37"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3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15"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44"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9"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其中:当年财政拨款</w:t>
            </w:r>
          </w:p>
        </w:tc>
        <w:tc>
          <w:tcPr>
            <w:tcW w:w="1122"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105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15"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9"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上年结转金额</w:t>
            </w:r>
          </w:p>
        </w:tc>
        <w:tc>
          <w:tcPr>
            <w:tcW w:w="1122"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105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63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15"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9"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其它资金</w:t>
            </w:r>
          </w:p>
        </w:tc>
        <w:tc>
          <w:tcPr>
            <w:tcW w:w="1122"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105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63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15"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9"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年度资金总额</w:t>
            </w:r>
          </w:p>
        </w:tc>
        <w:tc>
          <w:tcPr>
            <w:tcW w:w="1122"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105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6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532"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年度总体目标</w:t>
            </w:r>
          </w:p>
        </w:tc>
        <w:tc>
          <w:tcPr>
            <w:tcW w:w="5232"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预期目标</w:t>
            </w:r>
          </w:p>
        </w:tc>
        <w:tc>
          <w:tcPr>
            <w:tcW w:w="2735" w:type="dxa"/>
            <w:gridSpan w:val="4"/>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5232" w:type="dxa"/>
            <w:gridSpan w:val="4"/>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保障单位其他社会保障缴费</w:t>
            </w:r>
          </w:p>
        </w:tc>
        <w:tc>
          <w:tcPr>
            <w:tcW w:w="2735" w:type="dxa"/>
            <w:gridSpan w:val="4"/>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5232"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735"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5232"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735"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532"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2"/>
                <w:szCs w:val="22"/>
                <w:u w:val="none"/>
              </w:rPr>
            </w:pPr>
            <w:r>
              <w:rPr>
                <w:rFonts w:hint="default" w:ascii="Microsoft YaHei" w:hAnsi="Microsoft YaHei" w:eastAsia="Microsoft YaHei" w:cs="Microsoft YaHei"/>
                <w:i w:val="0"/>
                <w:color w:val="000000"/>
                <w:kern w:val="0"/>
                <w:sz w:val="22"/>
                <w:szCs w:val="22"/>
                <w:u w:val="none"/>
                <w:bdr w:val="none" w:color="auto" w:sz="0" w:space="0"/>
                <w:lang w:val="en-US" w:eastAsia="zh-CN" w:bidi="ar"/>
              </w:rPr>
              <w:t>绩效指标</w:t>
            </w:r>
          </w:p>
        </w:tc>
        <w:tc>
          <w:tcPr>
            <w:tcW w:w="152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一级指标</w:t>
            </w:r>
          </w:p>
        </w:tc>
        <w:tc>
          <w:tcPr>
            <w:tcW w:w="153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二级指标</w:t>
            </w:r>
          </w:p>
        </w:tc>
        <w:tc>
          <w:tcPr>
            <w:tcW w:w="1122"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三级指标</w:t>
            </w:r>
          </w:p>
        </w:tc>
        <w:tc>
          <w:tcPr>
            <w:tcW w:w="1051" w:type="dxa"/>
            <w:vMerge w:val="restart"/>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年度指标值</w:t>
            </w:r>
          </w:p>
        </w:tc>
        <w:tc>
          <w:tcPr>
            <w:tcW w:w="637"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实际完成值</w:t>
            </w:r>
          </w:p>
        </w:tc>
        <w:tc>
          <w:tcPr>
            <w:tcW w:w="63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815"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c>
          <w:tcPr>
            <w:tcW w:w="644"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12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1"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37"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3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44"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5"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12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1"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37"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3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644"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产出指标</w:t>
            </w: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数量指标</w:t>
            </w:r>
          </w:p>
        </w:tc>
        <w:tc>
          <w:tcPr>
            <w:tcW w:w="112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其他社会保障缴费</w:t>
            </w:r>
          </w:p>
        </w:tc>
        <w:tc>
          <w:tcPr>
            <w:tcW w:w="105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w:t>
            </w:r>
          </w:p>
        </w:tc>
        <w:tc>
          <w:tcPr>
            <w:tcW w:w="8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20.00</w:t>
            </w: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质量指标</w:t>
            </w:r>
          </w:p>
        </w:tc>
        <w:tc>
          <w:tcPr>
            <w:tcW w:w="112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按月缴费</w:t>
            </w:r>
          </w:p>
        </w:tc>
        <w:tc>
          <w:tcPr>
            <w:tcW w:w="105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按月缴费</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按月缴费</w:t>
            </w:r>
          </w:p>
        </w:tc>
        <w:tc>
          <w:tcPr>
            <w:tcW w:w="63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w:t>
            </w:r>
          </w:p>
        </w:tc>
        <w:tc>
          <w:tcPr>
            <w:tcW w:w="8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20.00</w:t>
            </w: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时效指标</w:t>
            </w:r>
          </w:p>
        </w:tc>
        <w:tc>
          <w:tcPr>
            <w:tcW w:w="112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项目时效</w:t>
            </w:r>
          </w:p>
        </w:tc>
        <w:tc>
          <w:tcPr>
            <w:tcW w:w="105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w:t>
            </w:r>
          </w:p>
        </w:tc>
        <w:tc>
          <w:tcPr>
            <w:tcW w:w="63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w:t>
            </w:r>
          </w:p>
        </w:tc>
        <w:tc>
          <w:tcPr>
            <w:tcW w:w="8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20.00</w:t>
            </w: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效益指标</w:t>
            </w: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经济效益指标</w:t>
            </w:r>
          </w:p>
        </w:tc>
        <w:tc>
          <w:tcPr>
            <w:tcW w:w="1122"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1"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15"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社会效益指标</w:t>
            </w:r>
          </w:p>
        </w:tc>
        <w:tc>
          <w:tcPr>
            <w:tcW w:w="112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完成其他社会保障缴费</w:t>
            </w:r>
          </w:p>
        </w:tc>
        <w:tc>
          <w:tcPr>
            <w:tcW w:w="105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生态效益指标</w:t>
            </w:r>
          </w:p>
        </w:tc>
        <w:tc>
          <w:tcPr>
            <w:tcW w:w="1122"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1"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15"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可持续影响指标</w:t>
            </w:r>
          </w:p>
        </w:tc>
        <w:tc>
          <w:tcPr>
            <w:tcW w:w="1122"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1"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15"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满意度指标</w:t>
            </w: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服务对象满意度指标</w:t>
            </w:r>
          </w:p>
        </w:tc>
        <w:tc>
          <w:tcPr>
            <w:tcW w:w="112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w:t>
            </w:r>
          </w:p>
        </w:tc>
        <w:tc>
          <w:tcPr>
            <w:tcW w:w="105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90</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90</w:t>
            </w:r>
          </w:p>
        </w:tc>
        <w:tc>
          <w:tcPr>
            <w:tcW w:w="63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成本指标</w:t>
            </w: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经济成本指标</w:t>
            </w:r>
          </w:p>
        </w:tc>
        <w:tc>
          <w:tcPr>
            <w:tcW w:w="112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其他社会保障缴费</w:t>
            </w:r>
          </w:p>
        </w:tc>
        <w:tc>
          <w:tcPr>
            <w:tcW w:w="105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0.5</w:t>
            </w:r>
          </w:p>
        </w:tc>
        <w:tc>
          <w:tcPr>
            <w:tcW w:w="63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社会成本指标</w:t>
            </w:r>
          </w:p>
        </w:tc>
        <w:tc>
          <w:tcPr>
            <w:tcW w:w="1122"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1"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15"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生态环境成本指标</w:t>
            </w:r>
          </w:p>
        </w:tc>
        <w:tc>
          <w:tcPr>
            <w:tcW w:w="1122"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1"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3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15"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401" w:type="dxa"/>
            <w:gridSpan w:val="6"/>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总分</w:t>
            </w:r>
          </w:p>
        </w:tc>
        <w:tc>
          <w:tcPr>
            <w:tcW w:w="63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8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64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bl>
    <w:p>
      <w:pPr>
        <w:spacing w:beforeLines="0" w:after="120" w:afterLines="50" w:line="600" w:lineRule="exact"/>
        <w:rPr>
          <w:rFonts w:hint="default" w:eastAsia="黑体"/>
          <w:sz w:val="32"/>
          <w:szCs w:val="24"/>
        </w:rPr>
      </w:pPr>
    </w:p>
    <w:p/>
    <w:sectPr>
      <w:footerReference r:id="rId3" w:type="default"/>
      <w:footerReference r:id="rId4"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Microsoft YaHei UI">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078FF"/>
    <w:multiLevelType w:val="singleLevel"/>
    <w:tmpl w:val="8B6078FF"/>
    <w:lvl w:ilvl="0" w:tentative="0">
      <w:start w:val="2"/>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CCE5073"/>
    <w:rsid w:val="0FBF4D53"/>
    <w:rsid w:val="101F3C57"/>
    <w:rsid w:val="105E064F"/>
    <w:rsid w:val="154B3473"/>
    <w:rsid w:val="15B02F86"/>
    <w:rsid w:val="1BCE59A7"/>
    <w:rsid w:val="1D5E5630"/>
    <w:rsid w:val="1F9C1D8C"/>
    <w:rsid w:val="20BA3D5C"/>
    <w:rsid w:val="20FE29CD"/>
    <w:rsid w:val="213827F6"/>
    <w:rsid w:val="24756501"/>
    <w:rsid w:val="2AF82401"/>
    <w:rsid w:val="31EF3498"/>
    <w:rsid w:val="322E5A66"/>
    <w:rsid w:val="33457B5A"/>
    <w:rsid w:val="33EA0D37"/>
    <w:rsid w:val="38EA5012"/>
    <w:rsid w:val="3DFB432B"/>
    <w:rsid w:val="41A60F90"/>
    <w:rsid w:val="437042B4"/>
    <w:rsid w:val="43D25C86"/>
    <w:rsid w:val="47FF7E2A"/>
    <w:rsid w:val="4A7E5437"/>
    <w:rsid w:val="4B490F32"/>
    <w:rsid w:val="4B564457"/>
    <w:rsid w:val="4C575977"/>
    <w:rsid w:val="4DF30F3A"/>
    <w:rsid w:val="4E8B7C40"/>
    <w:rsid w:val="4F1637A4"/>
    <w:rsid w:val="4FC15B60"/>
    <w:rsid w:val="500F1BD2"/>
    <w:rsid w:val="51C40746"/>
    <w:rsid w:val="543E6CC0"/>
    <w:rsid w:val="55412274"/>
    <w:rsid w:val="55C03679"/>
    <w:rsid w:val="57C446E9"/>
    <w:rsid w:val="57EE2CDC"/>
    <w:rsid w:val="58820FB8"/>
    <w:rsid w:val="5ABA52A9"/>
    <w:rsid w:val="5C8E01AF"/>
    <w:rsid w:val="61896491"/>
    <w:rsid w:val="62BE6D8B"/>
    <w:rsid w:val="64E742EF"/>
    <w:rsid w:val="684B0AD7"/>
    <w:rsid w:val="6E351362"/>
    <w:rsid w:val="75073918"/>
    <w:rsid w:val="771A18F7"/>
    <w:rsid w:val="7E991F23"/>
    <w:rsid w:val="7EB5519D"/>
    <w:rsid w:val="BEFF1CD8"/>
    <w:rsid w:val="FAD266C1"/>
    <w:rsid w:val="FADDBC53"/>
    <w:rsid w:val="FEBE8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2024</Words>
  <Characters>2105</Characters>
  <Lines>0</Lines>
  <Paragraphs>0</Paragraphs>
  <TotalTime>1</TotalTime>
  <ScaleCrop>false</ScaleCrop>
  <LinksUpToDate>false</LinksUpToDate>
  <CharactersWithSpaces>2111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2025-09-15T17:49:24Z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3280F55FC2BF4232AD293AEB6A241BE5_13</vt:lpwstr>
  </property>
  <property fmtid="{D5CDD505-2E9C-101B-9397-08002B2CF9AE}" pid="4" name="KSOTemplateDocerSaveRecord">
    <vt:lpwstr>eyJoZGlkIjoiZjg2ODM5ZmQzZGZlZThjODdlNmUxY2I0NmJkMjBmMjAifQ==</vt:lpwstr>
  </property>
</Properties>
</file>