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2024年度双牌县理家坪乡人民政府</w:t>
      </w:r>
    </w:p>
    <w:p>
      <w:pPr>
        <w:jc w:val="center"/>
        <w:outlineLvl w:val="1"/>
        <w:rPr>
          <w:rFonts w:hint="default" w:ascii="方正小标宋简体" w:eastAsia="方正小标宋简体"/>
          <w:sz w:val="52"/>
        </w:rPr>
      </w:pPr>
      <w:r>
        <w:rPr>
          <w:rFonts w:ascii="方正小标宋简体" w:eastAsia="方正小标宋简体"/>
          <w:sz w:val="52"/>
        </w:rPr>
        <w:t>整体支出绩效自评报告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jc w:val="center"/>
        <w:rPr>
          <w:rFonts w:hint="default" w:eastAsia="仿宋_GB2312"/>
          <w:sz w:val="32"/>
          <w:u w:val="single"/>
        </w:rPr>
      </w:pPr>
      <w:r>
        <w:rPr>
          <w:rFonts w:eastAsia="仿宋_GB2312"/>
          <w:sz w:val="32"/>
        </w:rPr>
        <w:t>单位名称（盖章）：双牌县理家坪乡人民政府</w:t>
      </w:r>
    </w:p>
    <w:p>
      <w:pPr>
        <w:spacing w:line="600" w:lineRule="exact"/>
        <w:ind w:firstLine="3200" w:firstLineChars="1000"/>
        <w:rPr>
          <w:rFonts w:hint="default" w:eastAsia="楷体_GB2312"/>
          <w:sz w:val="32"/>
        </w:rPr>
      </w:pPr>
    </w:p>
    <w:p>
      <w:pPr>
        <w:spacing w:line="600" w:lineRule="exact"/>
        <w:jc w:val="center"/>
        <w:rPr>
          <w:rFonts w:hint="default" w:eastAsia="楷体_GB2312"/>
          <w:sz w:val="32"/>
        </w:rPr>
      </w:pPr>
      <w:r>
        <w:rPr>
          <w:rFonts w:eastAsia="楷体_GB2312"/>
          <w:sz w:val="32"/>
        </w:rPr>
        <w:t>2025年 6 月 13 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部门（单位）基本情况</w:t>
      </w:r>
    </w:p>
    <w:p>
      <w:pPr>
        <w:pStyle w:val="14"/>
        <w:numPr>
          <w:ilvl w:val="0"/>
          <w:numId w:val="2"/>
        </w:numPr>
        <w:shd w:val="clear" w:color="auto" w:fill="FFFFFF"/>
        <w:spacing w:line="570" w:lineRule="exact"/>
        <w:ind w:firstLineChars="0"/>
        <w:outlineLvl w:val="1"/>
        <w:rPr>
          <w:rFonts w:ascii="仿宋_GB2312" w:eastAsia="仿宋_GB2312"/>
          <w:sz w:val="32"/>
        </w:rPr>
      </w:pPr>
      <w:r>
        <w:rPr>
          <w:rFonts w:hint="eastAsia" w:ascii="仿宋_GB2312" w:eastAsia="仿宋_GB2312"/>
          <w:sz w:val="32"/>
        </w:rPr>
        <w:t>单位基本情况</w:t>
      </w:r>
    </w:p>
    <w:p>
      <w:pPr>
        <w:pStyle w:val="8"/>
        <w:shd w:val="clear" w:color="auto" w:fill="FFFFFF"/>
        <w:spacing w:beforeAutospacing="0" w:afterAutospacing="0" w:line="525" w:lineRule="atLeast"/>
        <w:ind w:firstLine="600"/>
        <w:jc w:val="both"/>
        <w:rPr>
          <w:rFonts w:asciiTheme="majorEastAsia" w:hAnsiTheme="majorEastAsia" w:eastAsiaTheme="majorEastAsia"/>
          <w:color w:val="000000"/>
          <w:sz w:val="30"/>
          <w:szCs w:val="30"/>
        </w:rPr>
      </w:pPr>
      <w:r>
        <w:rPr>
          <w:rFonts w:hint="eastAsia" w:asciiTheme="majorEastAsia" w:hAnsiTheme="majorEastAsia" w:eastAsiaTheme="majorEastAsia"/>
          <w:color w:val="000000"/>
          <w:sz w:val="30"/>
          <w:szCs w:val="30"/>
        </w:rPr>
        <w:t>1、职能职责</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（1）执行国家行政机关的决定、命令和国家制定的法令、法规，执行本级人民代表大会的各项决议，并报告执行决议、决定和命令的情况。</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（2）制定并落实本行政区域的经济计划和措施，全面提高人民群众的生活水平和生活质量。</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（3）承担国有资产、集体资产管理、监督及增值保值责任。</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（4）开展社会主义民主和法制的宣传教育，保障公民的权利，打击违法犯罪，维护社会稳定。</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（5）制定社会各项事业发展计划，发展教育、卫生、科技、民政、广播电视、文化、体育事业；加强计划生育工作；推进社会保障、社会福利事业和养老保险等工作。</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（6）加强乡级财政的监督和管理。</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（7）指导村民委员会的组织制度建设和业务建设，促进村民委员会民主自治。</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（8）制定和组织实施乡村建设规划，保护和改善生活环境和生态环境。</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（9）协助和支持设置在本行政区域内不隶属于乡的国家机关和企事业单位工作，监督其遵守和执行国家的法律、法规和政策。</w:t>
      </w:r>
    </w:p>
    <w:p>
      <w:pPr>
        <w:ind w:firstLine="600" w:firstLineChars="200"/>
        <w:rPr>
          <w:rFonts w:hint="default" w:cs="宋体" w:asciiTheme="minorEastAsia" w:hAnsiTheme="minorEastAsia" w:eastAsiaTheme="minorEastAsia"/>
          <w:color w:val="000000"/>
          <w:kern w:val="0"/>
          <w:sz w:val="30"/>
          <w:szCs w:val="30"/>
        </w:rPr>
      </w:pPr>
      <w:r>
        <w:rPr>
          <w:rFonts w:cs="宋体" w:asciiTheme="minorEastAsia" w:hAnsiTheme="minorEastAsia" w:eastAsiaTheme="minorEastAsia"/>
          <w:color w:val="000000"/>
          <w:kern w:val="0"/>
          <w:sz w:val="30"/>
          <w:szCs w:val="30"/>
        </w:rPr>
        <w:t>（10）承办本级党委、人大和上级交办的其它事项。</w:t>
      </w:r>
    </w:p>
    <w:p>
      <w:pPr>
        <w:pStyle w:val="8"/>
        <w:shd w:val="clear" w:color="auto" w:fill="FFFFFF"/>
        <w:spacing w:beforeAutospacing="0" w:afterAutospacing="0" w:line="525" w:lineRule="atLeast"/>
        <w:ind w:firstLine="645"/>
        <w:jc w:val="both"/>
        <w:rPr>
          <w:rFonts w:asciiTheme="majorEastAsia" w:hAnsiTheme="majorEastAsia" w:eastAsiaTheme="majorEastAsia"/>
          <w:color w:val="000000"/>
          <w:sz w:val="30"/>
          <w:szCs w:val="30"/>
        </w:rPr>
      </w:pPr>
      <w:r>
        <w:rPr>
          <w:rFonts w:hint="eastAsia" w:asciiTheme="majorEastAsia" w:hAnsiTheme="majorEastAsia" w:eastAsiaTheme="majorEastAsia"/>
          <w:color w:val="000000"/>
          <w:sz w:val="30"/>
          <w:szCs w:val="30"/>
        </w:rPr>
        <w:t>2、机构设置</w:t>
      </w:r>
    </w:p>
    <w:p>
      <w:pPr>
        <w:pStyle w:val="8"/>
        <w:widowControl/>
        <w:shd w:val="clear" w:color="auto" w:fill="FFFFFF"/>
        <w:spacing w:beforeAutospacing="0" w:afterAutospacing="0"/>
        <w:ind w:firstLine="645"/>
        <w:jc w:val="both"/>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双牌县理家坪乡人民政府属于一级预算单位，单位性质为行政单位，独立编制机构共5个：1、政府机关；2、农业综合服务中心；3、综合行政执法大队； 4、退役军人事务服务站；5、便民服务中心。乡财政所人员编制及管理体制暂维持县管现状。</w:t>
      </w:r>
    </w:p>
    <w:p>
      <w:pPr>
        <w:pStyle w:val="8"/>
        <w:widowControl/>
        <w:shd w:val="clear" w:color="auto" w:fill="FFFFFF"/>
        <w:spacing w:beforeAutospacing="0" w:afterAutospacing="0"/>
        <w:ind w:firstLine="645"/>
        <w:jc w:val="both"/>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本年度独立编制机构情况与上年度对比减少一个，变动原因是2024年7月机构改革后撤销社会事务服务中心。</w:t>
      </w:r>
    </w:p>
    <w:p>
      <w:pPr>
        <w:pStyle w:val="8"/>
        <w:shd w:val="clear" w:color="auto" w:fill="FFFFFF"/>
        <w:spacing w:beforeAutospacing="0" w:afterAutospacing="0" w:line="525" w:lineRule="atLeast"/>
        <w:ind w:firstLine="645"/>
        <w:jc w:val="both"/>
        <w:rPr>
          <w:rFonts w:asciiTheme="majorEastAsia" w:hAnsiTheme="majorEastAsia" w:eastAsiaTheme="majorEastAsia"/>
          <w:color w:val="000000"/>
          <w:sz w:val="30"/>
          <w:szCs w:val="30"/>
        </w:rPr>
      </w:pPr>
      <w:r>
        <w:rPr>
          <w:rFonts w:hint="eastAsia" w:asciiTheme="majorEastAsia" w:hAnsiTheme="majorEastAsia" w:eastAsiaTheme="majorEastAsia"/>
          <w:color w:val="000000"/>
          <w:sz w:val="30"/>
          <w:szCs w:val="30"/>
        </w:rPr>
        <w:t>3、人员构成</w:t>
      </w:r>
    </w:p>
    <w:p>
      <w:pPr>
        <w:spacing w:line="600" w:lineRule="exact"/>
        <w:ind w:firstLine="600" w:firstLineChars="20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2024年年末实有人数44人（不含遗属优抚人员），与2023年度相比增加了10人，变动情况及原因如下：本年度新增公务员1人，事业编工作人员4人，退休人员5人（2023年未填报退休人员人数）。</w:t>
      </w:r>
    </w:p>
    <w:p>
      <w:pPr>
        <w:spacing w:line="600" w:lineRule="exact"/>
        <w:ind w:firstLine="600" w:firstLineChars="20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2024年在职人员人数39人。与2023年度相比，增加5人，在职人员人数主要变动原因：本年度新增调入公务员1人，事业编工作人员4人。</w:t>
      </w:r>
    </w:p>
    <w:p>
      <w:pPr>
        <w:spacing w:line="600" w:lineRule="exact"/>
        <w:ind w:firstLine="600" w:firstLineChars="200"/>
        <w:rPr>
          <w:rFonts w:hint="default" w:cs="宋体" w:asciiTheme="minorEastAsia" w:hAnsiTheme="minorEastAsia" w:eastAsiaTheme="minorEastAsia"/>
          <w:color w:val="000000"/>
          <w:sz w:val="30"/>
          <w:szCs w:val="30"/>
          <w:highlight w:val="yellow"/>
        </w:rPr>
      </w:pPr>
      <w:r>
        <w:rPr>
          <w:rFonts w:cs="宋体" w:asciiTheme="minorEastAsia" w:hAnsiTheme="minorEastAsia" w:eastAsiaTheme="minorEastAsia"/>
          <w:color w:val="000000"/>
          <w:sz w:val="30"/>
          <w:szCs w:val="30"/>
        </w:rPr>
        <w:t>2024年退休人员人数为5人。与2023年度相比，增加5人，退休人员人数主要变动原因：本年度实有退休人员5人，由于2023年决算报表未填报退休人员人数，导致增加。</w:t>
      </w:r>
    </w:p>
    <w:p>
      <w:pPr>
        <w:spacing w:line="570" w:lineRule="exact"/>
        <w:ind w:firstLine="640"/>
        <w:outlineLvl w:val="1"/>
        <w:rPr>
          <w:rFonts w:hint="default" w:ascii="仿宋_GB2312" w:eastAsia="仿宋_GB2312"/>
          <w:sz w:val="32"/>
        </w:rPr>
      </w:pPr>
      <w:r>
        <w:rPr>
          <w:rFonts w:ascii="仿宋_GB2312" w:eastAsia="仿宋_GB2312"/>
          <w:sz w:val="32"/>
        </w:rPr>
        <w:t>（二）单位年度整体支出绩效目标，项目支出绩效目标</w:t>
      </w:r>
    </w:p>
    <w:p>
      <w:pPr>
        <w:ind w:firstLine="64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目标</w:t>
      </w:r>
      <w:r>
        <w:rPr>
          <w:rFonts w:hint="default" w:cs="宋体" w:asciiTheme="minorEastAsia" w:hAnsiTheme="minorEastAsia" w:eastAsiaTheme="minorEastAsia"/>
          <w:color w:val="000000"/>
          <w:sz w:val="30"/>
          <w:szCs w:val="30"/>
        </w:rPr>
        <w:t>1</w:t>
      </w:r>
      <w:r>
        <w:rPr>
          <w:rFonts w:cs="宋体" w:asciiTheme="minorEastAsia" w:hAnsiTheme="minorEastAsia" w:eastAsiaTheme="minorEastAsia"/>
          <w:color w:val="000000"/>
          <w:sz w:val="30"/>
          <w:szCs w:val="30"/>
        </w:rPr>
        <w:t>：完成年度预算执行，实现收支平衡；</w:t>
      </w:r>
    </w:p>
    <w:p>
      <w:pPr>
        <w:ind w:firstLine="64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目标</w:t>
      </w:r>
      <w:r>
        <w:rPr>
          <w:rFonts w:hint="default" w:cs="宋体" w:asciiTheme="minorEastAsia" w:hAnsiTheme="minorEastAsia" w:eastAsiaTheme="minorEastAsia"/>
          <w:color w:val="000000"/>
          <w:sz w:val="30"/>
          <w:szCs w:val="30"/>
        </w:rPr>
        <w:t>2</w:t>
      </w:r>
      <w:r>
        <w:rPr>
          <w:rFonts w:cs="宋体" w:asciiTheme="minorEastAsia" w:hAnsiTheme="minorEastAsia" w:eastAsiaTheme="minorEastAsia"/>
          <w:color w:val="000000"/>
          <w:sz w:val="30"/>
          <w:szCs w:val="30"/>
        </w:rPr>
        <w:t>：完善基础设施建设与惠民项目资金的管理，惠民项目验收合格率达</w:t>
      </w:r>
      <w:r>
        <w:rPr>
          <w:rFonts w:hint="default" w:cs="宋体" w:asciiTheme="minorEastAsia" w:hAnsiTheme="minorEastAsia" w:eastAsiaTheme="minorEastAsia"/>
          <w:color w:val="000000"/>
          <w:sz w:val="30"/>
          <w:szCs w:val="30"/>
        </w:rPr>
        <w:t>90%</w:t>
      </w:r>
      <w:r>
        <w:rPr>
          <w:rFonts w:cs="宋体" w:asciiTheme="minorEastAsia" w:hAnsiTheme="minorEastAsia" w:eastAsiaTheme="minorEastAsia"/>
          <w:color w:val="000000"/>
          <w:sz w:val="30"/>
          <w:szCs w:val="30"/>
        </w:rPr>
        <w:t>；</w:t>
      </w:r>
    </w:p>
    <w:p>
      <w:pPr>
        <w:ind w:firstLine="64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目标</w:t>
      </w:r>
      <w:r>
        <w:rPr>
          <w:rFonts w:hint="default" w:cs="宋体" w:asciiTheme="minorEastAsia" w:hAnsiTheme="minorEastAsia" w:eastAsiaTheme="minorEastAsia"/>
          <w:color w:val="000000"/>
          <w:sz w:val="30"/>
          <w:szCs w:val="30"/>
        </w:rPr>
        <w:t>3</w:t>
      </w:r>
      <w:r>
        <w:rPr>
          <w:rFonts w:cs="宋体" w:asciiTheme="minorEastAsia" w:hAnsiTheme="minorEastAsia" w:eastAsiaTheme="minorEastAsia"/>
          <w:color w:val="000000"/>
          <w:sz w:val="30"/>
          <w:szCs w:val="30"/>
        </w:rPr>
        <w:t>：一卡通惠民补贴发放及时率达</w:t>
      </w:r>
      <w:r>
        <w:rPr>
          <w:rFonts w:hint="default" w:cs="宋体" w:asciiTheme="minorEastAsia" w:hAnsiTheme="minorEastAsia" w:eastAsiaTheme="minorEastAsia"/>
          <w:color w:val="000000"/>
          <w:sz w:val="30"/>
          <w:szCs w:val="30"/>
        </w:rPr>
        <w:t>80%</w:t>
      </w:r>
      <w:r>
        <w:rPr>
          <w:rFonts w:cs="宋体" w:asciiTheme="minorEastAsia" w:hAnsiTheme="minorEastAsia" w:eastAsiaTheme="minorEastAsia"/>
          <w:color w:val="000000"/>
          <w:sz w:val="30"/>
          <w:szCs w:val="30"/>
        </w:rPr>
        <w:t>，坚守民生保障底线；</w:t>
      </w:r>
    </w:p>
    <w:p>
      <w:pPr>
        <w:ind w:firstLine="64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目标</w:t>
      </w:r>
      <w:r>
        <w:rPr>
          <w:rFonts w:hint="default" w:cs="宋体" w:asciiTheme="minorEastAsia" w:hAnsiTheme="minorEastAsia" w:eastAsiaTheme="minorEastAsia"/>
          <w:color w:val="000000"/>
          <w:sz w:val="30"/>
          <w:szCs w:val="30"/>
        </w:rPr>
        <w:t>4</w:t>
      </w:r>
      <w:r>
        <w:rPr>
          <w:rFonts w:cs="宋体" w:asciiTheme="minorEastAsia" w:hAnsiTheme="minorEastAsia" w:eastAsiaTheme="minorEastAsia"/>
          <w:color w:val="000000"/>
          <w:sz w:val="30"/>
          <w:szCs w:val="30"/>
        </w:rPr>
        <w:t>：加强社会管理，村民赴省进京上访控制为</w:t>
      </w:r>
      <w:r>
        <w:rPr>
          <w:rFonts w:hint="default" w:cs="宋体" w:asciiTheme="minorEastAsia" w:hAnsiTheme="minorEastAsia" w:eastAsiaTheme="minorEastAsia"/>
          <w:color w:val="000000"/>
          <w:sz w:val="30"/>
          <w:szCs w:val="30"/>
        </w:rPr>
        <w:t>0</w:t>
      </w:r>
      <w:r>
        <w:rPr>
          <w:rFonts w:cs="宋体" w:asciiTheme="minorEastAsia" w:hAnsiTheme="minorEastAsia" w:eastAsiaTheme="minorEastAsia"/>
          <w:color w:val="000000"/>
          <w:sz w:val="30"/>
          <w:szCs w:val="30"/>
        </w:rPr>
        <w:t>；</w:t>
      </w:r>
    </w:p>
    <w:p>
      <w:pPr>
        <w:ind w:firstLine="64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目标5：灾害防治、安全生产、森林防火实现</w:t>
      </w:r>
      <w:r>
        <w:rPr>
          <w:rFonts w:hint="default" w:cs="宋体" w:asciiTheme="minorEastAsia" w:hAnsiTheme="minorEastAsia" w:eastAsiaTheme="minorEastAsia"/>
          <w:color w:val="000000"/>
          <w:sz w:val="30"/>
          <w:szCs w:val="30"/>
        </w:rPr>
        <w:t>"</w:t>
      </w:r>
      <w:r>
        <w:rPr>
          <w:rFonts w:cs="宋体" w:asciiTheme="minorEastAsia" w:hAnsiTheme="minorEastAsia" w:eastAsiaTheme="minorEastAsia"/>
          <w:color w:val="000000"/>
          <w:sz w:val="30"/>
          <w:szCs w:val="30"/>
        </w:rPr>
        <w:t>零发生</w:t>
      </w:r>
      <w:r>
        <w:rPr>
          <w:rFonts w:hint="default" w:cs="宋体" w:asciiTheme="minorEastAsia" w:hAnsiTheme="minorEastAsia" w:eastAsiaTheme="minorEastAsia"/>
          <w:color w:val="000000"/>
          <w:sz w:val="30"/>
          <w:szCs w:val="30"/>
        </w:rPr>
        <w:t>"</w:t>
      </w:r>
      <w:r>
        <w:rPr>
          <w:rFonts w:cs="宋体" w:asciiTheme="minorEastAsia" w:hAnsiTheme="minorEastAsia" w:eastAsiaTheme="minorEastAsia"/>
          <w:color w:val="000000"/>
          <w:sz w:val="30"/>
          <w:szCs w:val="30"/>
        </w:rPr>
        <w:t>，全面做好</w:t>
      </w:r>
      <w:r>
        <w:rPr>
          <w:rFonts w:hint="default" w:cs="宋体" w:asciiTheme="minorEastAsia" w:hAnsiTheme="minorEastAsia" w:eastAsiaTheme="minorEastAsia"/>
          <w:color w:val="000000"/>
          <w:sz w:val="30"/>
          <w:szCs w:val="30"/>
        </w:rPr>
        <w:t>"</w:t>
      </w:r>
      <w:r>
        <w:rPr>
          <w:rFonts w:cs="宋体" w:asciiTheme="minorEastAsia" w:hAnsiTheme="minorEastAsia" w:eastAsiaTheme="minorEastAsia"/>
          <w:color w:val="000000"/>
          <w:sz w:val="30"/>
          <w:szCs w:val="30"/>
        </w:rPr>
        <w:t>底线</w:t>
      </w:r>
      <w:r>
        <w:rPr>
          <w:rFonts w:hint="default" w:cs="宋体" w:asciiTheme="minorEastAsia" w:hAnsiTheme="minorEastAsia" w:eastAsiaTheme="minorEastAsia"/>
          <w:color w:val="000000"/>
          <w:sz w:val="30"/>
          <w:szCs w:val="30"/>
        </w:rPr>
        <w:t>"</w:t>
      </w:r>
      <w:r>
        <w:rPr>
          <w:rFonts w:cs="宋体" w:asciiTheme="minorEastAsia" w:hAnsiTheme="minorEastAsia" w:eastAsiaTheme="minorEastAsia"/>
          <w:color w:val="000000"/>
          <w:sz w:val="30"/>
          <w:szCs w:val="30"/>
        </w:rPr>
        <w:t>工作；</w:t>
      </w:r>
    </w:p>
    <w:p>
      <w:pPr>
        <w:ind w:firstLine="64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目标</w:t>
      </w:r>
      <w:r>
        <w:rPr>
          <w:rFonts w:hint="default" w:cs="宋体" w:asciiTheme="minorEastAsia" w:hAnsiTheme="minorEastAsia" w:eastAsiaTheme="minorEastAsia"/>
          <w:color w:val="000000"/>
          <w:sz w:val="30"/>
          <w:szCs w:val="30"/>
        </w:rPr>
        <w:t>6</w:t>
      </w:r>
      <w:r>
        <w:rPr>
          <w:rFonts w:cs="宋体" w:asciiTheme="minorEastAsia" w:hAnsiTheme="minorEastAsia" w:eastAsiaTheme="minorEastAsia"/>
          <w:color w:val="000000"/>
          <w:sz w:val="30"/>
          <w:szCs w:val="30"/>
        </w:rPr>
        <w:t>：奋力冲刺重点项目攻坚，促进乡镇经济发展，提高农户收入水平。</w:t>
      </w:r>
    </w:p>
    <w:p>
      <w:pPr>
        <w:pStyle w:val="14"/>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4"/>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（一）基本支出情况</w:t>
      </w:r>
    </w:p>
    <w:p>
      <w:pPr>
        <w:pStyle w:val="14"/>
        <w:spacing w:line="570" w:lineRule="exact"/>
        <w:ind w:firstLine="600"/>
        <w:outlineLvl w:val="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2024年一般公共预算财政拨款基本支出462.13万元，占一般公共预算财政拨款支出的74.05</w:t>
      </w:r>
      <w:r>
        <w:rPr>
          <w:rFonts w:cs="宋体" w:asciiTheme="minorEastAsia" w:hAnsiTheme="minorEastAsia" w:eastAsiaTheme="minorEastAsia"/>
          <w:sz w:val="30"/>
          <w:szCs w:val="30"/>
        </w:rPr>
        <w:t>%</w:t>
      </w:r>
      <w:r>
        <w:rPr>
          <w:rFonts w:hint="eastAsia" w:cs="宋体" w:asciiTheme="minorEastAsia" w:hAnsiTheme="minorEastAsia" w:eastAsiaTheme="minorEastAsia"/>
          <w:sz w:val="30"/>
          <w:szCs w:val="30"/>
        </w:rPr>
        <w:t>，其中：</w:t>
      </w:r>
    </w:p>
    <w:p>
      <w:pPr>
        <w:pStyle w:val="14"/>
        <w:spacing w:line="570" w:lineRule="exact"/>
        <w:ind w:firstLine="600"/>
        <w:outlineLvl w:val="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人员经费418.94万元，包括：基本工资130.13万元、津贴补贴83.01万元、奖金64.26万元、绩效工资47.14万元、社会保障缴费63.54万元、住房公积金30.86万元。</w:t>
      </w:r>
    </w:p>
    <w:p>
      <w:pPr>
        <w:pStyle w:val="14"/>
        <w:spacing w:line="570" w:lineRule="exact"/>
        <w:ind w:firstLine="600"/>
        <w:outlineLvl w:val="1"/>
        <w:rPr>
          <w:rFonts w:asciiTheme="minorEastAsia" w:hAnsiTheme="minorEastAsia" w:eastAsiaTheme="minorEastAsia"/>
          <w:sz w:val="32"/>
        </w:rPr>
      </w:pPr>
      <w:r>
        <w:rPr>
          <w:rFonts w:hint="eastAsia" w:cs="宋体" w:asciiTheme="minorEastAsia" w:hAnsiTheme="minorEastAsia" w:eastAsiaTheme="minorEastAsia"/>
          <w:sz w:val="30"/>
          <w:szCs w:val="30"/>
        </w:rPr>
        <w:t>公用经费共43.19万元，包括：办公费6万元、印刷费4.59万元、水费0.8万元、电费3.03万元、邮电费0.57万元、差旅费0.4万</w:t>
      </w:r>
      <w:r>
        <w:rPr>
          <w:rFonts w:hint="eastAsia" w:cs="宋体" w:asciiTheme="minorEastAsia" w:hAnsiTheme="minorEastAsia" w:eastAsiaTheme="minorEastAsia"/>
          <w:color w:val="000000"/>
          <w:sz w:val="30"/>
          <w:szCs w:val="30"/>
        </w:rPr>
        <w:t>、会议费1万元、公务接待费11.74万元、劳务费5万元、工会经费2</w:t>
      </w:r>
      <w:r>
        <w:rPr>
          <w:rFonts w:hint="eastAsia" w:cs="宋体" w:asciiTheme="minorEastAsia" w:hAnsiTheme="minorEastAsia" w:eastAsiaTheme="minorEastAsia"/>
          <w:sz w:val="30"/>
          <w:szCs w:val="30"/>
        </w:rPr>
        <w:t>万元、福利费4.8万元、公务用车运行维护费1.16万元、其他交通费用0.6万元、其他商品和服务支出1.5万元。</w:t>
      </w:r>
    </w:p>
    <w:p>
      <w:pPr>
        <w:pStyle w:val="14"/>
        <w:numPr>
          <w:ilvl w:val="0"/>
          <w:numId w:val="2"/>
        </w:numPr>
        <w:spacing w:line="570" w:lineRule="exact"/>
        <w:ind w:firstLineChars="0"/>
        <w:outlineLvl w:val="1"/>
        <w:rPr>
          <w:rFonts w:ascii="Times New Roman" w:hAnsi="Times New Roman" w:eastAsia="仿宋_GB2312"/>
          <w:sz w:val="32"/>
        </w:rPr>
      </w:pPr>
      <w:r>
        <w:rPr>
          <w:rFonts w:hint="eastAsia" w:ascii="Times New Roman" w:hAnsi="Times New Roman" w:eastAsia="仿宋_GB2312"/>
          <w:sz w:val="32"/>
        </w:rPr>
        <w:t>项目支出情况</w:t>
      </w:r>
    </w:p>
    <w:p>
      <w:pPr>
        <w:pStyle w:val="14"/>
        <w:spacing w:line="570" w:lineRule="exact"/>
        <w:ind w:firstLine="600"/>
        <w:outlineLvl w:val="1"/>
        <w:rPr>
          <w:rFonts w:cs="宋体" w:asciiTheme="minorEastAsia" w:hAnsiTheme="minorEastAsia" w:eastAsiaTheme="minorEastAsia"/>
          <w:sz w:val="30"/>
          <w:szCs w:val="30"/>
          <w:u w:val="single"/>
        </w:rPr>
      </w:pPr>
      <w:r>
        <w:rPr>
          <w:rFonts w:hint="eastAsia" w:cs="宋体" w:asciiTheme="minorEastAsia" w:hAnsiTheme="minorEastAsia" w:eastAsiaTheme="minorEastAsia"/>
          <w:sz w:val="30"/>
          <w:szCs w:val="30"/>
        </w:rPr>
        <w:t>2024年一般公共预算财政拨款</w:t>
      </w:r>
      <w:r>
        <w:rPr>
          <w:rFonts w:cs="宋体" w:asciiTheme="minorEastAsia" w:hAnsiTheme="minorEastAsia" w:eastAsiaTheme="minorEastAsia"/>
          <w:sz w:val="30"/>
          <w:szCs w:val="30"/>
        </w:rPr>
        <w:t>项目支出</w:t>
      </w:r>
      <w:r>
        <w:rPr>
          <w:rFonts w:hint="eastAsia" w:cs="宋体" w:asciiTheme="minorEastAsia" w:hAnsiTheme="minorEastAsia" w:eastAsiaTheme="minorEastAsia"/>
          <w:sz w:val="30"/>
          <w:szCs w:val="30"/>
        </w:rPr>
        <w:t>161.91</w:t>
      </w:r>
      <w:r>
        <w:rPr>
          <w:rFonts w:cs="宋体" w:asciiTheme="minorEastAsia" w:hAnsiTheme="minorEastAsia" w:eastAsiaTheme="minorEastAsia"/>
          <w:sz w:val="30"/>
          <w:szCs w:val="30"/>
        </w:rPr>
        <w:t>万元</w:t>
      </w:r>
      <w:r>
        <w:rPr>
          <w:rFonts w:hint="eastAsia" w:cs="宋体" w:asciiTheme="minorEastAsia" w:hAnsiTheme="minorEastAsia" w:eastAsiaTheme="minorEastAsia"/>
          <w:sz w:val="30"/>
          <w:szCs w:val="30"/>
        </w:rPr>
        <w:t>，占一般公共预算财政拨款支出的25.95</w:t>
      </w:r>
      <w:r>
        <w:rPr>
          <w:rFonts w:cs="宋体" w:asciiTheme="minorEastAsia" w:hAnsiTheme="minorEastAsia" w:eastAsiaTheme="minorEastAsia"/>
          <w:sz w:val="30"/>
          <w:szCs w:val="30"/>
        </w:rPr>
        <w:t>%，</w:t>
      </w:r>
      <w:r>
        <w:rPr>
          <w:rFonts w:hint="eastAsia" w:cs="宋体" w:asciiTheme="minorEastAsia" w:hAnsiTheme="minorEastAsia" w:eastAsiaTheme="minorEastAsia"/>
          <w:sz w:val="30"/>
          <w:szCs w:val="30"/>
        </w:rPr>
        <w:t>主要包括</w:t>
      </w:r>
      <w:r>
        <w:rPr>
          <w:rFonts w:cs="宋体" w:asciiTheme="minorEastAsia" w:hAnsiTheme="minorEastAsia" w:eastAsiaTheme="minorEastAsia"/>
          <w:sz w:val="30"/>
          <w:szCs w:val="30"/>
        </w:rPr>
        <w:t>：</w:t>
      </w:r>
    </w:p>
    <w:p>
      <w:pPr>
        <w:pStyle w:val="14"/>
        <w:spacing w:line="570" w:lineRule="exact"/>
        <w:ind w:firstLine="600"/>
        <w:outlineLvl w:val="1"/>
        <w:rPr>
          <w:rFonts w:cs="宋体" w:asciiTheme="minorEastAsia" w:hAnsiTheme="minorEastAsia" w:eastAsiaTheme="minorEastAsia"/>
          <w:sz w:val="30"/>
          <w:szCs w:val="30"/>
        </w:rPr>
      </w:pPr>
      <w:r>
        <w:rPr>
          <w:rFonts w:cs="宋体" w:asciiTheme="minorEastAsia" w:hAnsiTheme="minorEastAsia" w:eastAsiaTheme="minorEastAsia"/>
          <w:sz w:val="30"/>
          <w:szCs w:val="30"/>
        </w:rPr>
        <w:t>1、</w:t>
      </w:r>
      <w:r>
        <w:rPr>
          <w:rFonts w:hint="eastAsia" w:cs="宋体" w:asciiTheme="minorEastAsia" w:hAnsiTheme="minorEastAsia" w:eastAsiaTheme="minorEastAsia"/>
          <w:sz w:val="30"/>
          <w:szCs w:val="30"/>
        </w:rPr>
        <w:t>村级运转经费54</w:t>
      </w:r>
      <w:r>
        <w:rPr>
          <w:rFonts w:cs="宋体" w:asciiTheme="minorEastAsia" w:hAnsiTheme="minorEastAsia" w:eastAsiaTheme="minorEastAsia"/>
          <w:sz w:val="30"/>
          <w:szCs w:val="30"/>
        </w:rPr>
        <w:t>万元；2、朱里源水库灌区水费粮食补助</w:t>
      </w:r>
      <w:r>
        <w:rPr>
          <w:rFonts w:hint="eastAsia" w:cs="宋体" w:asciiTheme="minorEastAsia" w:hAnsiTheme="minorEastAsia" w:eastAsiaTheme="minorEastAsia"/>
          <w:sz w:val="30"/>
          <w:szCs w:val="30"/>
        </w:rPr>
        <w:t>12.57</w:t>
      </w:r>
      <w:r>
        <w:rPr>
          <w:rFonts w:cs="宋体" w:asciiTheme="minorEastAsia" w:hAnsiTheme="minorEastAsia" w:eastAsiaTheme="minorEastAsia"/>
          <w:sz w:val="30"/>
          <w:szCs w:val="30"/>
        </w:rPr>
        <w:t>万元；3、坦田村岁圆楼古建筑群保护设施维修改造</w:t>
      </w:r>
      <w:r>
        <w:rPr>
          <w:rFonts w:hint="eastAsia" w:cs="宋体" w:asciiTheme="minorEastAsia" w:hAnsiTheme="minorEastAsia" w:eastAsiaTheme="minorEastAsia"/>
          <w:sz w:val="30"/>
          <w:szCs w:val="30"/>
        </w:rPr>
        <w:t>11.21</w:t>
      </w:r>
      <w:r>
        <w:rPr>
          <w:rFonts w:cs="宋体" w:asciiTheme="minorEastAsia" w:hAnsiTheme="minorEastAsia" w:eastAsiaTheme="minorEastAsia"/>
          <w:sz w:val="30"/>
          <w:szCs w:val="30"/>
        </w:rPr>
        <w:t>万元；4、三支一扶人员工资及福利</w:t>
      </w:r>
      <w:r>
        <w:rPr>
          <w:rFonts w:hint="eastAsia" w:cs="宋体" w:asciiTheme="minorEastAsia" w:hAnsiTheme="minorEastAsia" w:eastAsiaTheme="minorEastAsia"/>
          <w:sz w:val="30"/>
          <w:szCs w:val="30"/>
        </w:rPr>
        <w:t>9.80</w:t>
      </w:r>
      <w:r>
        <w:rPr>
          <w:rFonts w:cs="宋体" w:asciiTheme="minorEastAsia" w:hAnsiTheme="minorEastAsia" w:eastAsiaTheme="minorEastAsia"/>
          <w:sz w:val="30"/>
          <w:szCs w:val="30"/>
        </w:rPr>
        <w:t>万元，5、抗旱打井资金</w:t>
      </w:r>
      <w:r>
        <w:rPr>
          <w:rFonts w:hint="eastAsia" w:cs="宋体" w:asciiTheme="minorEastAsia" w:hAnsiTheme="minorEastAsia" w:eastAsiaTheme="minorEastAsia"/>
          <w:sz w:val="30"/>
          <w:szCs w:val="30"/>
        </w:rPr>
        <w:t>9.70</w:t>
      </w:r>
      <w:r>
        <w:rPr>
          <w:rFonts w:cs="宋体" w:asciiTheme="minorEastAsia" w:hAnsiTheme="minorEastAsia" w:eastAsiaTheme="minorEastAsia"/>
          <w:sz w:val="30"/>
          <w:szCs w:val="30"/>
        </w:rPr>
        <w:t>万元；6、村级组织服务群众专项经费</w:t>
      </w:r>
      <w:r>
        <w:rPr>
          <w:rFonts w:hint="eastAsia" w:cs="宋体" w:asciiTheme="minorEastAsia" w:hAnsiTheme="minorEastAsia" w:eastAsiaTheme="minorEastAsia"/>
          <w:sz w:val="30"/>
          <w:szCs w:val="30"/>
        </w:rPr>
        <w:t>9</w:t>
      </w:r>
      <w:r>
        <w:rPr>
          <w:rFonts w:cs="宋体" w:asciiTheme="minorEastAsia" w:hAnsiTheme="minorEastAsia" w:eastAsiaTheme="minorEastAsia"/>
          <w:sz w:val="30"/>
          <w:szCs w:val="30"/>
        </w:rPr>
        <w:t>万元；7、乡镇纪委办案经费</w:t>
      </w:r>
      <w:r>
        <w:rPr>
          <w:rFonts w:hint="eastAsia" w:cs="宋体" w:asciiTheme="minorEastAsia" w:hAnsiTheme="minorEastAsia" w:eastAsiaTheme="minorEastAsia"/>
          <w:sz w:val="30"/>
          <w:szCs w:val="30"/>
        </w:rPr>
        <w:t>8.76</w:t>
      </w:r>
      <w:r>
        <w:rPr>
          <w:rFonts w:cs="宋体" w:asciiTheme="minorEastAsia" w:hAnsiTheme="minorEastAsia" w:eastAsiaTheme="minorEastAsia"/>
          <w:sz w:val="30"/>
          <w:szCs w:val="30"/>
        </w:rPr>
        <w:t>万元；8、县批经费</w:t>
      </w:r>
      <w:r>
        <w:rPr>
          <w:rFonts w:hint="eastAsia" w:cs="宋体" w:asciiTheme="minorEastAsia" w:hAnsiTheme="minorEastAsia" w:eastAsiaTheme="minorEastAsia"/>
          <w:sz w:val="30"/>
          <w:szCs w:val="30"/>
        </w:rPr>
        <w:t>10.71</w:t>
      </w:r>
      <w:r>
        <w:rPr>
          <w:rFonts w:cs="宋体" w:asciiTheme="minorEastAsia" w:hAnsiTheme="minorEastAsia" w:eastAsiaTheme="minorEastAsia"/>
          <w:sz w:val="30"/>
          <w:szCs w:val="30"/>
        </w:rPr>
        <w:t>万元；9、文化广场维修</w:t>
      </w:r>
      <w:r>
        <w:rPr>
          <w:rFonts w:hint="eastAsia" w:cs="宋体" w:asciiTheme="minorEastAsia" w:hAnsiTheme="minorEastAsia" w:eastAsiaTheme="minorEastAsia"/>
          <w:sz w:val="30"/>
          <w:szCs w:val="30"/>
        </w:rPr>
        <w:t>3.45</w:t>
      </w:r>
      <w:r>
        <w:rPr>
          <w:rFonts w:cs="宋体" w:asciiTheme="minorEastAsia" w:hAnsiTheme="minorEastAsia" w:eastAsiaTheme="minorEastAsia"/>
          <w:sz w:val="30"/>
          <w:szCs w:val="30"/>
        </w:rPr>
        <w:t>万元。</w:t>
      </w:r>
    </w:p>
    <w:p>
      <w:pPr>
        <w:pStyle w:val="14"/>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pPr>
        <w:pStyle w:val="14"/>
        <w:spacing w:line="570" w:lineRule="exact"/>
        <w:ind w:firstLine="600"/>
        <w:outlineLvl w:val="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政府性基金支出218.13万元，包括：</w:t>
      </w:r>
      <w:r>
        <w:rPr>
          <w:rFonts w:cs="宋体" w:asciiTheme="minorEastAsia" w:hAnsiTheme="minorEastAsia" w:eastAsiaTheme="minorEastAsia"/>
          <w:sz w:val="30"/>
          <w:szCs w:val="30"/>
        </w:rPr>
        <w:t>集镇改道工程</w:t>
      </w:r>
      <w:r>
        <w:rPr>
          <w:rFonts w:hint="eastAsia" w:cs="宋体" w:asciiTheme="minorEastAsia" w:hAnsiTheme="minorEastAsia" w:eastAsiaTheme="minorEastAsia"/>
          <w:sz w:val="30"/>
          <w:szCs w:val="30"/>
        </w:rPr>
        <w:t>及</w:t>
      </w:r>
      <w:r>
        <w:rPr>
          <w:rFonts w:cs="宋体" w:asciiTheme="minorEastAsia" w:hAnsiTheme="minorEastAsia" w:eastAsiaTheme="minorEastAsia"/>
          <w:sz w:val="30"/>
          <w:szCs w:val="30"/>
        </w:rPr>
        <w:t>征地拆迁经费</w:t>
      </w:r>
      <w:r>
        <w:rPr>
          <w:rFonts w:hint="eastAsia" w:cs="宋体" w:asciiTheme="minorEastAsia" w:hAnsiTheme="minorEastAsia" w:eastAsiaTheme="minorEastAsia"/>
          <w:sz w:val="30"/>
          <w:szCs w:val="30"/>
        </w:rPr>
        <w:t>9.94万元，</w:t>
      </w:r>
      <w:r>
        <w:rPr>
          <w:rFonts w:cs="宋体" w:asciiTheme="minorEastAsia" w:hAnsiTheme="minorEastAsia" w:eastAsiaTheme="minorEastAsia"/>
          <w:sz w:val="30"/>
          <w:szCs w:val="30"/>
        </w:rPr>
        <w:t>建设工程合同印花税</w:t>
      </w:r>
      <w:r>
        <w:rPr>
          <w:rFonts w:hint="eastAsia" w:cs="宋体" w:asciiTheme="minorEastAsia" w:hAnsiTheme="minorEastAsia" w:eastAsiaTheme="minorEastAsia"/>
          <w:sz w:val="30"/>
          <w:szCs w:val="30"/>
        </w:rPr>
        <w:t>200.92万元，</w:t>
      </w:r>
      <w:r>
        <w:rPr>
          <w:rFonts w:cs="宋体" w:asciiTheme="minorEastAsia" w:hAnsiTheme="minorEastAsia" w:eastAsiaTheme="minorEastAsia"/>
          <w:sz w:val="30"/>
          <w:szCs w:val="30"/>
        </w:rPr>
        <w:t>环境整治资金</w:t>
      </w:r>
      <w:r>
        <w:rPr>
          <w:rFonts w:hint="eastAsia" w:cs="宋体" w:asciiTheme="minorEastAsia" w:hAnsiTheme="minorEastAsia" w:eastAsiaTheme="minorEastAsia"/>
          <w:sz w:val="30"/>
          <w:szCs w:val="30"/>
        </w:rPr>
        <w:t>7.27万元。</w:t>
      </w:r>
    </w:p>
    <w:p>
      <w:pPr>
        <w:pStyle w:val="14"/>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四、国有资本经营预算支出情况。</w:t>
      </w:r>
    </w:p>
    <w:p>
      <w:pPr>
        <w:pStyle w:val="14"/>
        <w:spacing w:line="570" w:lineRule="exact"/>
        <w:ind w:firstLine="600"/>
        <w:outlineLvl w:val="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我单位无国有资本经营预算支出情况。</w:t>
      </w:r>
    </w:p>
    <w:p>
      <w:pPr>
        <w:pStyle w:val="14"/>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五、社会保险基金预算支出情况。</w:t>
      </w:r>
    </w:p>
    <w:p>
      <w:pPr>
        <w:pStyle w:val="14"/>
        <w:spacing w:line="570" w:lineRule="exact"/>
        <w:ind w:firstLine="600"/>
        <w:outlineLvl w:val="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我单位无社会保险基金预算支出情况。</w:t>
      </w:r>
    </w:p>
    <w:p>
      <w:pPr>
        <w:spacing w:line="570" w:lineRule="exact"/>
        <w:ind w:firstLine="645"/>
        <w:jc w:val="left"/>
        <w:outlineLvl w:val="0"/>
        <w:rPr>
          <w:rFonts w:hint="default" w:eastAsia="黑体"/>
          <w:sz w:val="32"/>
        </w:rPr>
      </w:pPr>
      <w:r>
        <w:rPr>
          <w:rFonts w:eastAsia="黑体"/>
          <w:sz w:val="32"/>
        </w:rPr>
        <w:t>六、部门整体支出绩效情况</w:t>
      </w:r>
    </w:p>
    <w:p>
      <w:pPr>
        <w:pStyle w:val="13"/>
        <w:spacing w:line="600" w:lineRule="exact"/>
        <w:ind w:firstLine="600"/>
        <w:rPr>
          <w:rFonts w:hint="default" w:ascii="宋体" w:hAnsi="宋体" w:cs="宋体" w:eastAsiaTheme="minorEastAsia"/>
          <w:sz w:val="30"/>
          <w:szCs w:val="30"/>
        </w:rPr>
      </w:pPr>
      <w:r>
        <w:rPr>
          <w:rFonts w:cs="宋体" w:asciiTheme="minorEastAsia" w:hAnsiTheme="minorEastAsia" w:eastAsiaTheme="minorEastAsia"/>
          <w:sz w:val="30"/>
          <w:szCs w:val="30"/>
        </w:rPr>
        <w:t>在县委、县政府的坚强领导下，本单位</w:t>
      </w:r>
      <w:r>
        <w:rPr>
          <w:rFonts w:hint="default" w:cs="宋体" w:asciiTheme="minorEastAsia" w:hAnsiTheme="minorEastAsia" w:eastAsiaTheme="minorEastAsia"/>
          <w:sz w:val="30"/>
          <w:szCs w:val="30"/>
        </w:rPr>
        <w:t>202</w:t>
      </w:r>
      <w:r>
        <w:rPr>
          <w:rFonts w:cs="宋体" w:asciiTheme="minorEastAsia" w:hAnsiTheme="minorEastAsia" w:eastAsiaTheme="minorEastAsia"/>
          <w:sz w:val="30"/>
          <w:szCs w:val="30"/>
        </w:rPr>
        <w:t>4年所有支出严格按照国家财经法规、预算资金管理办法、财务管理制度及专项资金管理办法的规定，遵循先预算、再审批、后支出的原则，保证资金的合理使用。对资金实行全程监管，做到专款专用，确保项目的顺</w:t>
      </w:r>
      <w:r>
        <w:rPr>
          <w:rFonts w:ascii="宋体" w:hAnsi="宋体" w:cs="宋体" w:eastAsiaTheme="minorEastAsia"/>
          <w:sz w:val="30"/>
          <w:szCs w:val="30"/>
        </w:rPr>
        <w:t>利开展，取得了如下绩效：</w:t>
      </w:r>
    </w:p>
    <w:p>
      <w:pPr>
        <w:pStyle w:val="13"/>
        <w:spacing w:line="600" w:lineRule="exact"/>
        <w:ind w:firstLine="600"/>
        <w:rPr>
          <w:rFonts w:hint="default" w:ascii="宋体" w:hAnsi="宋体" w:cs="宋体" w:eastAsiaTheme="minorEastAsia"/>
          <w:sz w:val="30"/>
          <w:szCs w:val="30"/>
        </w:rPr>
      </w:pPr>
      <w:r>
        <w:rPr>
          <w:rFonts w:ascii="宋体" w:hAnsi="宋体" w:cs="宋体" w:eastAsiaTheme="minorEastAsia"/>
          <w:sz w:val="30"/>
          <w:szCs w:val="30"/>
        </w:rPr>
        <w:t>1、保障单位正常运转。严格按照厉行节约的要求，进一步压缩“三公”经费和一般性支出，量入为出，规范机关事务管理工作，提高服务质量，降低运行成本，合理配置，提高保障能力。</w:t>
      </w:r>
    </w:p>
    <w:p>
      <w:pPr>
        <w:pStyle w:val="13"/>
        <w:spacing w:line="600" w:lineRule="exact"/>
        <w:ind w:firstLine="600"/>
        <w:rPr>
          <w:rFonts w:hint="default" w:ascii="宋体" w:hAnsi="宋体" w:cs="宋体" w:eastAsiaTheme="minorEastAsia"/>
          <w:sz w:val="30"/>
          <w:szCs w:val="30"/>
        </w:rPr>
      </w:pPr>
      <w:r>
        <w:rPr>
          <w:rFonts w:ascii="宋体" w:hAnsi="宋体" w:cs="宋体" w:eastAsiaTheme="minorEastAsia"/>
          <w:sz w:val="30"/>
          <w:szCs w:val="30"/>
        </w:rPr>
        <w:t>2、保障项目落实到位。朱里源水库灌区水费粮食补助均已发放到位；坦田村岁圆楼古建筑群保护设施维修改造已完工，并验收合格，资金已拨付到位；文化广场维修项目已完工并验收合格，资金已拨付到位;本年度实施的乡村振兴项目共五个38万元，均已完工验收合格，资金已拨付；建设工程合同应缴印花税201万已缴纳完成；国土局安排的耕地恢复项目共34.52万元，已完成举证任务，项目资金已拨付完成；本年度实施水利移民项目资金共6个，37.27万元，均已完工验收合格，资金已拨付。</w:t>
      </w:r>
    </w:p>
    <w:p>
      <w:pPr>
        <w:pStyle w:val="14"/>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pStyle w:val="13"/>
        <w:spacing w:line="600" w:lineRule="exact"/>
        <w:ind w:firstLine="6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1、需要进一步细化预算编制，预算编制不够明确和细化，预算编制的合理性需要提高，预算执行力度还要进一步加强。</w:t>
      </w:r>
    </w:p>
    <w:p>
      <w:pPr>
        <w:pStyle w:val="13"/>
        <w:spacing w:line="600" w:lineRule="exact"/>
        <w:ind w:firstLine="6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2、政府和财务部门在部门整体支出的资金安排和使用上仍有不可预见性，由于实际情况有所变动无法准确预估，导致个别项目存在资金支付缓慢的情况。</w:t>
      </w:r>
    </w:p>
    <w:p>
      <w:pPr>
        <w:pStyle w:val="13"/>
        <w:spacing w:line="600" w:lineRule="exact"/>
        <w:ind w:firstLine="6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3、需要进一步规范财政资金管理，加强主体责任意识，提高财政资金的使用效益，加强财务清查监管，强化组织纪律观念，切实履行财务监管责任。</w:t>
      </w:r>
    </w:p>
    <w:p>
      <w:pPr>
        <w:spacing w:line="570" w:lineRule="exact"/>
        <w:ind w:firstLine="640" w:firstLineChars="200"/>
        <w:jc w:val="left"/>
        <w:outlineLvl w:val="0"/>
        <w:rPr>
          <w:rFonts w:hint="default" w:eastAsia="黑体"/>
          <w:sz w:val="32"/>
        </w:rPr>
      </w:pPr>
      <w:r>
        <w:rPr>
          <w:rFonts w:eastAsia="黑体"/>
          <w:sz w:val="32"/>
        </w:rPr>
        <w:t>八、下一步改进措施</w:t>
      </w:r>
    </w:p>
    <w:p>
      <w:pPr>
        <w:pStyle w:val="14"/>
        <w:spacing w:line="570" w:lineRule="exact"/>
        <w:ind w:firstLine="600"/>
        <w:outlineLvl w:val="1"/>
        <w:rPr>
          <w:rFonts w:ascii="宋体" w:hAnsi="宋体" w:cs="宋体" w:eastAsiaTheme="minorEastAsia"/>
          <w:sz w:val="30"/>
          <w:szCs w:val="30"/>
        </w:rPr>
      </w:pPr>
      <w:r>
        <w:rPr>
          <w:rFonts w:ascii="宋体" w:hAnsi="宋体" w:cs="宋体" w:eastAsiaTheme="minorEastAsia"/>
          <w:sz w:val="30"/>
          <w:szCs w:val="30"/>
        </w:rPr>
        <w:t>根据我单位部门整体支出管理工作的需要，拟实施改进措施如下：</w:t>
      </w:r>
    </w:p>
    <w:p>
      <w:pPr>
        <w:pStyle w:val="14"/>
        <w:spacing w:line="570" w:lineRule="exact"/>
        <w:ind w:firstLine="600"/>
        <w:outlineLvl w:val="1"/>
        <w:rPr>
          <w:rFonts w:ascii="宋体" w:hAnsi="宋体" w:cs="宋体" w:eastAsiaTheme="minorEastAsia"/>
          <w:sz w:val="30"/>
          <w:szCs w:val="30"/>
        </w:rPr>
      </w:pPr>
      <w:r>
        <w:rPr>
          <w:rFonts w:ascii="宋体" w:hAnsi="宋体" w:cs="宋体" w:eastAsiaTheme="minorEastAsia"/>
          <w:sz w:val="30"/>
          <w:szCs w:val="30"/>
        </w:rPr>
        <w:t>1、严控三公经费。严格控制“三公”经费的规模和比例，严把“三公”经费支出的审核、审批关，杜绝挪用和挤占其他预算资金行为；进一步细化“三公”经费的管理，合理压缩“三公”经费支出。</w:t>
      </w:r>
    </w:p>
    <w:p>
      <w:pPr>
        <w:pStyle w:val="14"/>
        <w:spacing w:line="570" w:lineRule="exact"/>
        <w:ind w:firstLine="600"/>
        <w:outlineLvl w:val="1"/>
        <w:rPr>
          <w:rFonts w:ascii="宋体" w:hAnsi="宋体" w:cs="宋体" w:eastAsiaTheme="minorEastAsia"/>
          <w:sz w:val="30"/>
          <w:szCs w:val="30"/>
        </w:rPr>
      </w:pPr>
      <w:r>
        <w:rPr>
          <w:rFonts w:ascii="宋体" w:hAnsi="宋体" w:cs="宋体" w:eastAsiaTheme="minorEastAsia"/>
          <w:sz w:val="30"/>
          <w:szCs w:val="30"/>
        </w:rPr>
        <w:t>2、加强财务管理。健全单位财务管理制度体系，规范单位财务行为。对相关人员加强培训，特别是针对《预算法》、《行政事业单位会计制度》等学习培训，规范部门预算收支核算，切实提高部门预算收支管理水平。</w:t>
      </w:r>
    </w:p>
    <w:p>
      <w:pPr>
        <w:pStyle w:val="14"/>
        <w:spacing w:line="570" w:lineRule="exact"/>
        <w:ind w:firstLine="600"/>
        <w:outlineLvl w:val="1"/>
        <w:rPr>
          <w:rFonts w:ascii="宋体" w:hAnsi="宋体" w:cs="宋体" w:eastAsiaTheme="minorEastAsia"/>
          <w:sz w:val="30"/>
          <w:szCs w:val="30"/>
        </w:rPr>
      </w:pPr>
      <w:r>
        <w:rPr>
          <w:rFonts w:ascii="宋体" w:hAnsi="宋体" w:cs="宋体" w:eastAsiaTheme="minorEastAsia"/>
          <w:sz w:val="30"/>
          <w:szCs w:val="30"/>
        </w:rPr>
        <w:t>3、科学编制预算。严格按照预算编制的相关制度和要求做好预算的编制，优先保障固定的、相对刚性的费用支出项目，尽量压缩变动的、有控制空间的费用项目，进一步提高预算编制的科学性、严谨性和可控性。预算编制前根据年度内单位可预见的工作任务，确定单位年度预算目标，细化预算指标，科学合理编制部门预算，推进预算编制科学化、准确化。</w:t>
      </w:r>
    </w:p>
    <w:p>
      <w:pPr>
        <w:spacing w:line="570" w:lineRule="exact"/>
        <w:ind w:firstLine="640" w:firstLineChars="200"/>
        <w:jc w:val="left"/>
        <w:outlineLvl w:val="0"/>
        <w:rPr>
          <w:rFonts w:hint="default" w:eastAsia="黑体"/>
          <w:sz w:val="32"/>
        </w:rPr>
      </w:pPr>
      <w:r>
        <w:rPr>
          <w:rFonts w:eastAsia="黑体"/>
          <w:sz w:val="32"/>
        </w:rPr>
        <w:t>九、部门整体支出绩效自评结果拟应用和公开情况.</w:t>
      </w:r>
    </w:p>
    <w:p>
      <w:pPr>
        <w:pStyle w:val="14"/>
        <w:spacing w:line="570" w:lineRule="exact"/>
        <w:ind w:firstLine="600"/>
        <w:outlineLvl w:val="1"/>
        <w:rPr>
          <w:rFonts w:ascii="宋体" w:hAnsi="宋体" w:cs="宋体" w:eastAsiaTheme="minorEastAsia"/>
          <w:sz w:val="30"/>
          <w:szCs w:val="30"/>
        </w:rPr>
      </w:pPr>
      <w:r>
        <w:rPr>
          <w:rFonts w:ascii="宋体" w:hAnsi="宋体" w:cs="宋体" w:eastAsiaTheme="minorEastAsia"/>
          <w:sz w:val="30"/>
          <w:szCs w:val="30"/>
        </w:rPr>
        <w:t>根据《部门整体支出绩效评价自评表》评分，2024年度我乡整体支出绩效自评得分97分，绩价等级为“优”。按照政府信息公开的有关要求，强化评价结果应用，逐步公开财政支出项目预算及绩效评价结果，接受社会公众对财政资金使用效益的监督。</w:t>
      </w:r>
    </w:p>
    <w:p>
      <w:pPr>
        <w:spacing w:line="570" w:lineRule="exact"/>
        <w:ind w:firstLine="645"/>
        <w:jc w:val="left"/>
        <w:rPr>
          <w:rFonts w:hint="default" w:eastAsia="黑体"/>
          <w:sz w:val="32"/>
        </w:rPr>
      </w:pPr>
      <w:r>
        <w:rPr>
          <w:rFonts w:eastAsia="黑体"/>
          <w:sz w:val="32"/>
        </w:rPr>
        <w:t>其他需要说明的情况</w:t>
      </w:r>
    </w:p>
    <w:p>
      <w:pPr>
        <w:pStyle w:val="2"/>
        <w:ind w:leftChars="0" w:firstLine="600"/>
        <w:rPr>
          <w:rFonts w:hint="default" w:ascii="宋体" w:hAnsi="宋体" w:cs="宋体" w:eastAsiaTheme="minorEastAsia"/>
          <w:kern w:val="0"/>
          <w:sz w:val="30"/>
          <w:szCs w:val="30"/>
        </w:rPr>
      </w:pPr>
      <w:r>
        <w:rPr>
          <w:rFonts w:ascii="宋体" w:hAnsi="宋体" w:cs="宋体" w:eastAsiaTheme="minorEastAsia"/>
          <w:kern w:val="0"/>
          <w:sz w:val="30"/>
          <w:szCs w:val="30"/>
        </w:rPr>
        <w:t>无</w:t>
      </w:r>
    </w:p>
    <w:p>
      <w:pPr>
        <w:widowControl/>
        <w:jc w:val="left"/>
        <w:rPr>
          <w:rFonts w:hint="default" w:eastAsia="仿宋_GB2312"/>
          <w:color w:val="000000"/>
          <w:sz w:val="32"/>
        </w:rPr>
      </w:pPr>
      <w:r>
        <w:rPr>
          <w:rFonts w:hint="default" w:eastAsia="仿宋_GB2312"/>
          <w:color w:val="000000"/>
          <w:sz w:val="32"/>
        </w:rPr>
        <w:br w:type="page"/>
      </w: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8"/>
        <w:gridCol w:w="1074"/>
        <w:gridCol w:w="784"/>
        <w:gridCol w:w="1228"/>
        <w:gridCol w:w="1309"/>
        <w:gridCol w:w="780"/>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58"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537"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1825" w:type="dxa"/>
            <w:gridSpan w:val="2"/>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388"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49</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39</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79.59%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highlight w:val="yellow"/>
              </w:rPr>
            </w:pPr>
            <w:r>
              <w:rPr>
                <w:rFonts w:asciiTheme="minorEastAsia" w:hAnsiTheme="minorEastAsia" w:eastAsiaTheme="minorEastAsia" w:cstheme="minorEastAsia"/>
                <w:b/>
                <w:sz w:val="24"/>
              </w:rPr>
              <w:t>531.18</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457.21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487.45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highlight w:val="yellow"/>
              </w:rPr>
            </w:pPr>
            <w:r>
              <w:rPr>
                <w:rFonts w:asciiTheme="minorEastAsia" w:hAnsiTheme="minorEastAsia" w:eastAsiaTheme="minorEastAsia" w:cstheme="minorEastAsia"/>
                <w:b/>
                <w:sz w:val="24"/>
              </w:rPr>
              <w:t>97.56</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41.60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61.83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highlight w:val="yellow"/>
              </w:rPr>
            </w:pPr>
            <w:r>
              <w:rPr>
                <w:rFonts w:asciiTheme="minorEastAsia" w:hAnsiTheme="minorEastAsia" w:eastAsiaTheme="minorEastAsia" w:cstheme="minorEastAsia"/>
                <w:sz w:val="24"/>
              </w:rPr>
              <w:t>6.63</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highlight w:val="yellow"/>
              </w:rPr>
            </w:pPr>
            <w:r>
              <w:rPr>
                <w:rFonts w:asciiTheme="minorEastAsia" w:hAnsiTheme="minorEastAsia" w:eastAsiaTheme="minorEastAsia" w:cstheme="minorEastAsia"/>
                <w:sz w:val="24"/>
              </w:rPr>
              <w:t>29.50</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4.20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highlight w:val="yellow"/>
              </w:rPr>
            </w:pPr>
            <w:r>
              <w:rPr>
                <w:rFonts w:asciiTheme="minorEastAsia" w:hAnsiTheme="minorEastAsia" w:eastAsiaTheme="minorEastAsia" w:cstheme="minorEastAsia"/>
                <w:sz w:val="24"/>
              </w:rPr>
              <w:t>3.46</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13.90</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14.00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11.88</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12.00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613.62</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743.46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827.77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1.业务工作经费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30.47</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48.74</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2.运行维护经费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3.本级专项资金</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583.15</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694.52</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793.62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3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3388"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（2024年完工项目）</w:t>
            </w:r>
          </w:p>
        </w:tc>
        <w:tc>
          <w:tcPr>
            <w:tcW w:w="107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30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3388"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sz w:val="24"/>
              </w:rPr>
            </w:pPr>
          </w:p>
        </w:tc>
        <w:tc>
          <w:tcPr>
            <w:tcW w:w="107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30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3388" w:type="dxa"/>
            <w:tcBorders>
              <w:top w:val="single" w:color="auto" w:sz="6" w:space="0"/>
              <w:left w:val="single" w:color="auto" w:sz="12" w:space="0"/>
              <w:bottom w:val="single" w:color="auto" w:sz="12"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20" w:type="dxa"/>
            <w:gridSpan w:val="6"/>
            <w:tcBorders>
              <w:top w:val="single" w:color="auto" w:sz="6" w:space="0"/>
              <w:left w:val="single" w:color="auto" w:sz="6" w:space="0"/>
              <w:bottom w:val="single" w:color="auto" w:sz="12" w:space="0"/>
              <w:right w:val="single" w:color="auto" w:sz="12" w:space="0"/>
              <w:tl2br w:val="nil"/>
              <w:tr2bl w:val="nil"/>
            </w:tcBorders>
            <w:noWrap/>
            <w:vAlign w:val="center"/>
          </w:tcPr>
          <w:p>
            <w:pPr>
              <w:spacing w:line="240" w:lineRule="atLeas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严制各项经费开支，非必要不超预算</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360" w:lineRule="exact"/>
        <w:jc w:val="left"/>
        <w:rPr>
          <w:rFonts w:hint="default" w:eastAsia="黑体"/>
          <w:sz w:val="32"/>
        </w:rPr>
      </w:pPr>
      <w:r>
        <w:rPr>
          <w:rFonts w:ascii="仿宋_GB2312" w:eastAsia="仿宋_GB2312" w:hAnsiTheme="minorEastAsia" w:cstheme="minorEastAsia"/>
          <w:sz w:val="22"/>
          <w:szCs w:val="22"/>
        </w:rPr>
        <w:t>填表人:吕玮伦填报日期:2025年6月13日 联系电话:191****0290 单位负责人签字:</w:t>
      </w:r>
      <w:r>
        <w:rPr>
          <w:rFonts w:ascii="仿宋_GB2312" w:eastAsia="仿宋_GB2312"/>
          <w:sz w:val="22"/>
        </w:rPr>
        <w:br w:type="page"/>
      </w: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10"/>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1"/>
        <w:gridCol w:w="709"/>
        <w:gridCol w:w="850"/>
        <w:gridCol w:w="1528"/>
        <w:gridCol w:w="38"/>
        <w:gridCol w:w="1078"/>
        <w:gridCol w:w="1202"/>
        <w:gridCol w:w="718"/>
        <w:gridCol w:w="1075"/>
        <w:gridCol w:w="1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86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450" w:type="dxa"/>
            <w:gridSpan w:val="9"/>
            <w:tcBorders>
              <w:top w:val="single" w:color="auto" w:sz="12"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6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559"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p>
        </w:tc>
        <w:tc>
          <w:tcPr>
            <w:tcW w:w="156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559"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56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501.74</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1398.50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1351.22</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94.05%</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20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20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其中：  一般公共预算：643.40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其中：基本支出：487.45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20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政府性基金拨款：218.94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项目支出：827.77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20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20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1680" w:firstLineChars="7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其他资金：535.96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6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20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20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目标</w:t>
            </w:r>
            <w:r>
              <w:rPr>
                <w:rFonts w:hint="default" w:asciiTheme="minorEastAsia" w:hAnsiTheme="minorEastAsia" w:eastAsiaTheme="minorEastAsia" w:cstheme="minorEastAsia"/>
              </w:rPr>
              <w:t>1</w:t>
            </w:r>
            <w:r>
              <w:rPr>
                <w:rFonts w:asciiTheme="minorEastAsia" w:hAnsiTheme="minorEastAsia" w:eastAsiaTheme="minorEastAsia" w:cstheme="minorEastAsia"/>
              </w:rPr>
              <w:t>：完成年度预算执行，实现收支平衡；</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目标</w:t>
            </w:r>
            <w:r>
              <w:rPr>
                <w:rFonts w:hint="default" w:asciiTheme="minorEastAsia" w:hAnsiTheme="minorEastAsia" w:eastAsiaTheme="minorEastAsia" w:cstheme="minorEastAsia"/>
              </w:rPr>
              <w:t>2</w:t>
            </w:r>
            <w:r>
              <w:rPr>
                <w:rFonts w:asciiTheme="minorEastAsia" w:hAnsiTheme="minorEastAsia" w:eastAsiaTheme="minorEastAsia" w:cstheme="minorEastAsia"/>
              </w:rPr>
              <w:t>：完善基础设施建设与惠民项目资金的管理，惠民项目验收合格率达</w:t>
            </w:r>
            <w:r>
              <w:rPr>
                <w:rFonts w:hint="default" w:asciiTheme="minorEastAsia" w:hAnsiTheme="minorEastAsia" w:eastAsiaTheme="minorEastAsia" w:cstheme="minorEastAsia"/>
              </w:rPr>
              <w:t>90%</w:t>
            </w:r>
            <w:r>
              <w:rPr>
                <w:rFonts w:asciiTheme="minorEastAsia" w:hAnsiTheme="minorEastAsia" w:eastAsiaTheme="minorEastAsia" w:cstheme="minorEastAsia"/>
              </w:rPr>
              <w:t>；</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目标</w:t>
            </w:r>
            <w:r>
              <w:rPr>
                <w:rFonts w:hint="default" w:asciiTheme="minorEastAsia" w:hAnsiTheme="minorEastAsia" w:eastAsiaTheme="minorEastAsia" w:cstheme="minorEastAsia"/>
              </w:rPr>
              <w:t>3</w:t>
            </w:r>
            <w:r>
              <w:rPr>
                <w:rFonts w:asciiTheme="minorEastAsia" w:hAnsiTheme="minorEastAsia" w:eastAsiaTheme="minorEastAsia" w:cstheme="minorEastAsia"/>
              </w:rPr>
              <w:t>：一卡通惠民补贴发放及时率达</w:t>
            </w:r>
            <w:r>
              <w:rPr>
                <w:rFonts w:hint="default" w:asciiTheme="minorEastAsia" w:hAnsiTheme="minorEastAsia" w:eastAsiaTheme="minorEastAsia" w:cstheme="minorEastAsia"/>
              </w:rPr>
              <w:t>80%</w:t>
            </w:r>
            <w:r>
              <w:rPr>
                <w:rFonts w:asciiTheme="minorEastAsia" w:hAnsiTheme="minorEastAsia" w:eastAsiaTheme="minorEastAsia" w:cstheme="minorEastAsia"/>
              </w:rPr>
              <w:t>，坚守民生保障底线；</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目标</w:t>
            </w:r>
            <w:r>
              <w:rPr>
                <w:rFonts w:hint="default" w:asciiTheme="minorEastAsia" w:hAnsiTheme="minorEastAsia" w:eastAsiaTheme="minorEastAsia" w:cstheme="minorEastAsia"/>
              </w:rPr>
              <w:t>4</w:t>
            </w:r>
            <w:r>
              <w:rPr>
                <w:rFonts w:asciiTheme="minorEastAsia" w:hAnsiTheme="minorEastAsia" w:eastAsiaTheme="minorEastAsia" w:cstheme="minorEastAsia"/>
              </w:rPr>
              <w:t>：加强社会管理，村民赴省进京上访控制为</w:t>
            </w:r>
            <w:r>
              <w:rPr>
                <w:rFonts w:hint="default" w:asciiTheme="minorEastAsia" w:hAnsiTheme="minorEastAsia" w:eastAsiaTheme="minorEastAsia" w:cstheme="minorEastAsia"/>
              </w:rPr>
              <w:t>0</w:t>
            </w:r>
            <w:r>
              <w:rPr>
                <w:rFonts w:asciiTheme="minorEastAsia" w:hAnsiTheme="minorEastAsia" w:eastAsiaTheme="minorEastAsia" w:cstheme="minorEastAsia"/>
              </w:rPr>
              <w:t>；</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目标</w:t>
            </w:r>
            <w:r>
              <w:rPr>
                <w:rFonts w:hint="default" w:asciiTheme="minorEastAsia" w:hAnsiTheme="minorEastAsia" w:eastAsiaTheme="minorEastAsia" w:cstheme="minorEastAsia"/>
              </w:rPr>
              <w:t>5</w:t>
            </w:r>
            <w:r>
              <w:rPr>
                <w:rFonts w:asciiTheme="minorEastAsia" w:hAnsiTheme="minorEastAsia" w:eastAsiaTheme="minorEastAsia" w:cstheme="minorEastAsia"/>
              </w:rPr>
              <w:t>：灾害防治、安全生产、森林防火实现</w:t>
            </w:r>
            <w:r>
              <w:rPr>
                <w:rFonts w:hint="default" w:asciiTheme="minorEastAsia" w:hAnsiTheme="minorEastAsia" w:eastAsiaTheme="minorEastAsia" w:cstheme="minorEastAsia"/>
              </w:rPr>
              <w:t>"</w:t>
            </w:r>
            <w:r>
              <w:rPr>
                <w:rFonts w:asciiTheme="minorEastAsia" w:hAnsiTheme="minorEastAsia" w:eastAsiaTheme="minorEastAsia" w:cstheme="minorEastAsia"/>
              </w:rPr>
              <w:t>零发生</w:t>
            </w:r>
            <w:r>
              <w:rPr>
                <w:rFonts w:hint="default" w:asciiTheme="minorEastAsia" w:hAnsiTheme="minorEastAsia" w:eastAsiaTheme="minorEastAsia" w:cstheme="minorEastAsia"/>
              </w:rPr>
              <w:t>"</w:t>
            </w:r>
            <w:r>
              <w:rPr>
                <w:rFonts w:asciiTheme="minorEastAsia" w:hAnsiTheme="minorEastAsia" w:eastAsiaTheme="minorEastAsia" w:cstheme="minorEastAsia"/>
              </w:rPr>
              <w:t>，全面做好</w:t>
            </w:r>
            <w:r>
              <w:rPr>
                <w:rFonts w:hint="default" w:asciiTheme="minorEastAsia" w:hAnsiTheme="minorEastAsia" w:eastAsiaTheme="minorEastAsia" w:cstheme="minorEastAsia"/>
              </w:rPr>
              <w:t>"</w:t>
            </w:r>
            <w:r>
              <w:rPr>
                <w:rFonts w:asciiTheme="minorEastAsia" w:hAnsiTheme="minorEastAsia" w:eastAsiaTheme="minorEastAsia" w:cstheme="minorEastAsia"/>
              </w:rPr>
              <w:t>底线</w:t>
            </w:r>
            <w:r>
              <w:rPr>
                <w:rFonts w:hint="default" w:asciiTheme="minorEastAsia" w:hAnsiTheme="minorEastAsia" w:eastAsiaTheme="minorEastAsia" w:cstheme="minorEastAsia"/>
              </w:rPr>
              <w:t>"</w:t>
            </w:r>
            <w:r>
              <w:rPr>
                <w:rFonts w:asciiTheme="minorEastAsia" w:hAnsiTheme="minorEastAsia" w:eastAsiaTheme="minorEastAsia" w:cstheme="minorEastAsia"/>
              </w:rPr>
              <w:t>工作；</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目标</w:t>
            </w:r>
            <w:r>
              <w:rPr>
                <w:rFonts w:hint="default" w:asciiTheme="minorEastAsia" w:hAnsiTheme="minorEastAsia" w:eastAsiaTheme="minorEastAsia" w:cstheme="minorEastAsia"/>
              </w:rPr>
              <w:t>6</w:t>
            </w:r>
            <w:r>
              <w:rPr>
                <w:rFonts w:asciiTheme="minorEastAsia" w:hAnsiTheme="minorEastAsia" w:eastAsiaTheme="minorEastAsia" w:cstheme="minorEastAsia"/>
              </w:rPr>
              <w:t>：奋力冲刺重点项目攻坚，促进乡镇经济发展，提高农户收入水平。</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1：合理安排支出，完成年度收支预算任务</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2：基础设施有所改善，验收合格率达到100%</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3："两折两卡"补贴发放及时率达100%</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4：村民赴省进京上访控制为0</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5：灾害防治、安全生产实现"零发生</w:t>
            </w:r>
            <w:r>
              <w:rPr>
                <w:rFonts w:hint="default" w:asciiTheme="minorEastAsia" w:hAnsiTheme="minorEastAsia" w:eastAsiaTheme="minorEastAsia" w:cstheme="minorEastAsia"/>
              </w:rPr>
              <w:t>"</w:t>
            </w:r>
          </w:p>
          <w:p>
            <w:pPr>
              <w:spacing w:line="24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6：实施完成重点项目</w:t>
            </w:r>
            <w:r>
              <w:rPr>
                <w:rFonts w:ascii="宋体" w:eastAsia="宋体"/>
              </w:rPr>
              <w:t>，为巩固拓展脱贫攻坚成果、加快乡村振兴步伐增添新活力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86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70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21"/>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成本指标</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经济成本指标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_GB2312" w:hAnsi="仿宋_GB2312" w:eastAsiaTheme="minorEastAsia"/>
                <w:kern w:val="0"/>
                <w:szCs w:val="21"/>
              </w:rPr>
            </w:pPr>
            <w:r>
              <w:rPr>
                <w:rFonts w:ascii="仿宋_GB2312" w:hAnsi="仿宋_GB2312" w:eastAsiaTheme="minorEastAsia"/>
                <w:kern w:val="0"/>
                <w:szCs w:val="21"/>
              </w:rPr>
              <w:t>完成预算支出</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1315.22</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1315.22</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10</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10</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产出指标</w:t>
            </w:r>
          </w:p>
          <w:p>
            <w:pPr>
              <w:spacing w:line="240" w:lineRule="atLeast"/>
              <w:jc w:val="center"/>
              <w:rPr>
                <w:rFonts w:hint="default" w:asciiTheme="minorEastAsia" w:hAnsiTheme="minorEastAsia" w:eastAsiaTheme="minorEastAsia" w:cstheme="minorEastAsia"/>
                <w:color w:val="000000"/>
                <w:szCs w:val="21"/>
              </w:rPr>
            </w:pPr>
          </w:p>
        </w:tc>
        <w:tc>
          <w:tcPr>
            <w:tcW w:w="850" w:type="dxa"/>
            <w:vMerge w:val="restart"/>
            <w:tcBorders>
              <w:top w:val="single" w:color="auto" w:sz="6" w:space="0"/>
              <w:left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数量指标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_GB2312" w:hAnsi="仿宋_GB2312"/>
                <w:kern w:val="0"/>
                <w:szCs w:val="21"/>
              </w:rPr>
            </w:pPr>
            <w:r>
              <w:rPr>
                <w:rFonts w:ascii="仿宋_GB2312" w:hAnsi="仿宋_GB2312"/>
                <w:kern w:val="0"/>
                <w:szCs w:val="21"/>
              </w:rPr>
              <w:t>受益群众数量</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5000人</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5000人</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8</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8</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p>
        </w:tc>
        <w:tc>
          <w:tcPr>
            <w:tcW w:w="850" w:type="dxa"/>
            <w:vMerge w:val="continue"/>
            <w:tcBorders>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_GB2312" w:hAnsi="仿宋_GB2312"/>
                <w:kern w:val="0"/>
                <w:szCs w:val="21"/>
              </w:rPr>
            </w:pPr>
            <w:r>
              <w:rPr>
                <w:rFonts w:ascii="仿宋_GB2312" w:hAnsi="仿宋_GB2312"/>
                <w:kern w:val="0"/>
                <w:szCs w:val="21"/>
              </w:rPr>
              <w:t>单位考核人数</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39人</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39人</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6</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6</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color w:val="000000"/>
                <w:szCs w:val="21"/>
              </w:rPr>
            </w:pP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质量指标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_GB2312" w:hAnsi="仿宋_GB2312"/>
                <w:kern w:val="0"/>
                <w:szCs w:val="21"/>
              </w:rPr>
            </w:pPr>
            <w:r>
              <w:rPr>
                <w:rFonts w:ascii="仿宋_GB2312" w:hAnsi="仿宋_GB2312"/>
                <w:kern w:val="0"/>
                <w:szCs w:val="21"/>
              </w:rPr>
              <w:t>项目验收合格率</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8</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8</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color w:val="000000"/>
                <w:szCs w:val="21"/>
              </w:rPr>
            </w:pP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时效指标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仿宋_GB2312" w:hAnsi="仿宋_GB2312"/>
                <w:kern w:val="0"/>
                <w:szCs w:val="21"/>
              </w:rPr>
              <w:t>惠民补贴发放及时率</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≥80%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8</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8</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restart"/>
            <w:tcBorders>
              <w:top w:val="single" w:color="auto" w:sz="6" w:space="0"/>
              <w:left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效益指标</w:t>
            </w:r>
          </w:p>
        </w:tc>
        <w:tc>
          <w:tcPr>
            <w:tcW w:w="850" w:type="dxa"/>
            <w:vMerge w:val="restart"/>
            <w:tcBorders>
              <w:top w:val="single" w:color="auto" w:sz="6" w:space="0"/>
              <w:left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经济效益指标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仿宋_GB2312" w:hAnsi="仿宋_GB2312"/>
                <w:kern w:val="0"/>
                <w:szCs w:val="21"/>
              </w:rPr>
              <w:t>农户收入水平提升</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≥5%</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top w:val="single" w:color="auto" w:sz="6" w:space="0"/>
              <w:left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p>
        </w:tc>
        <w:tc>
          <w:tcPr>
            <w:tcW w:w="850" w:type="dxa"/>
            <w:vMerge w:val="continue"/>
            <w:tcBorders>
              <w:left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_GB2312" w:hAnsi="仿宋_GB2312"/>
                <w:kern w:val="0"/>
                <w:szCs w:val="21"/>
              </w:rPr>
            </w:pPr>
            <w:r>
              <w:rPr>
                <w:rFonts w:ascii="仿宋_GB2312" w:hAnsi="仿宋_GB2312"/>
                <w:kern w:val="0"/>
                <w:szCs w:val="21"/>
              </w:rPr>
              <w:t>基本支出</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487.45</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487.45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top w:val="single" w:color="auto" w:sz="6" w:space="0"/>
              <w:left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p>
        </w:tc>
        <w:tc>
          <w:tcPr>
            <w:tcW w:w="850" w:type="dxa"/>
            <w:vMerge w:val="continue"/>
            <w:tcBorders>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_GB2312" w:hAnsi="仿宋_GB2312"/>
                <w:kern w:val="0"/>
                <w:szCs w:val="21"/>
              </w:rPr>
            </w:pPr>
            <w:r>
              <w:rPr>
                <w:rFonts w:ascii="仿宋_GB2312" w:hAnsi="仿宋_GB2312"/>
                <w:kern w:val="0"/>
                <w:szCs w:val="21"/>
              </w:rPr>
              <w:t>项目支出</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827.77</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kern w:val="0"/>
                <w:szCs w:val="21"/>
              </w:rPr>
            </w:pPr>
            <w:r>
              <w:rPr>
                <w:rFonts w:ascii="仿宋" w:hAnsi="仿宋" w:eastAsia="仿宋"/>
                <w:kern w:val="0"/>
                <w:szCs w:val="21"/>
              </w:rPr>
              <w:t>827.77</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left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color w:val="000000"/>
                <w:szCs w:val="21"/>
              </w:rPr>
            </w:pPr>
          </w:p>
        </w:tc>
        <w:tc>
          <w:tcPr>
            <w:tcW w:w="850" w:type="dxa"/>
            <w:vMerge w:val="restart"/>
            <w:tcBorders>
              <w:top w:val="single" w:color="auto" w:sz="6" w:space="0"/>
              <w:left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社会效益指标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仿宋_GB2312" w:hAnsi="仿宋_GB2312"/>
                <w:kern w:val="0"/>
                <w:szCs w:val="21"/>
              </w:rPr>
              <w:t>信访赔偿率降低</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≥5%</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5</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5</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left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color w:val="000000"/>
                <w:szCs w:val="21"/>
              </w:rPr>
            </w:pPr>
          </w:p>
        </w:tc>
        <w:tc>
          <w:tcPr>
            <w:tcW w:w="850" w:type="dxa"/>
            <w:vMerge w:val="continue"/>
            <w:tcBorders>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仿宋_GB2312" w:hAnsi="仿宋_GB2312"/>
                <w:kern w:val="0"/>
                <w:szCs w:val="21"/>
              </w:rPr>
              <w:t>村民出行效率提高</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≥20%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20%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5</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5</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left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color w:val="000000"/>
                <w:szCs w:val="21"/>
              </w:rPr>
            </w:pP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生态效益指标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仿宋_GB2312" w:hAnsi="仿宋_GB2312"/>
                <w:kern w:val="0"/>
                <w:szCs w:val="21"/>
              </w:rPr>
              <w:t>减少森林火灾发生率</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≥10%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10%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vMerge w:val="continue"/>
            <w:tcBorders>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color w:val="000000"/>
                <w:szCs w:val="21"/>
              </w:rPr>
            </w:pP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可持续影响指标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仿宋_GB2312" w:hAnsi="仿宋_GB2312"/>
                <w:kern w:val="0"/>
                <w:szCs w:val="21"/>
              </w:rPr>
              <w:t>发展成果持续惠及农户</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≥5%</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6</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86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70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满意度指标</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Theme="minorEastAsia" w:hAnsiTheme="minorEastAsia" w:eastAsiaTheme="minorEastAsia" w:cstheme="minorEastAsia"/>
                <w:color w:val="000000"/>
                <w:szCs w:val="21"/>
              </w:rPr>
            </w:pPr>
            <w:r>
              <w:rPr>
                <w:rFonts w:ascii="仿宋_GB2312" w:hAnsi="仿宋_GB2312"/>
                <w:kern w:val="0"/>
                <w:szCs w:val="21"/>
              </w:rPr>
              <w:t>受益群众满意度</w:t>
            </w:r>
          </w:p>
        </w:tc>
        <w:tc>
          <w:tcPr>
            <w:tcW w:w="111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kern w:val="0"/>
                <w:szCs w:val="21"/>
              </w:rPr>
              <w:t>≥80%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10</w:t>
            </w:r>
          </w:p>
        </w:tc>
        <w:tc>
          <w:tcPr>
            <w:tcW w:w="107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tLeast"/>
              <w:jc w:val="center"/>
              <w:rPr>
                <w:rFonts w:hint="default" w:ascii="仿宋" w:hAnsi="仿宋" w:eastAsia="仿宋" w:cstheme="minorEastAsia"/>
                <w:color w:val="000000"/>
                <w:szCs w:val="21"/>
              </w:rPr>
            </w:pPr>
            <w:r>
              <w:rPr>
                <w:rFonts w:ascii="仿宋" w:hAnsi="仿宋" w:eastAsia="仿宋" w:cstheme="minorEastAsia"/>
                <w:color w:val="000000"/>
                <w:szCs w:val="21"/>
              </w:rPr>
              <w:t>10</w:t>
            </w:r>
          </w:p>
        </w:tc>
        <w:tc>
          <w:tcPr>
            <w:tcW w:w="1252"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atLeast"/>
              <w:jc w:val="center"/>
              <w:rPr>
                <w:rFonts w:hint="default" w:ascii="仿宋" w:hAnsi="仿宋" w:eastAsia="仿宋"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075"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52"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附件4-1</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乡镇团委经费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用于乡镇团委日常工作经费</w:t>
            </w:r>
            <w:r>
              <w:rPr>
                <w:rFonts w:hint="default" w:asciiTheme="minorEastAsia" w:hAnsiTheme="minorEastAsia" w:eastAsiaTheme="minorEastAsia" w:cstheme="minorEastAsia"/>
                <w:color w:val="000000"/>
                <w:sz w:val="24"/>
              </w:rPr>
              <w:t>2</w:t>
            </w:r>
            <w:r>
              <w:rPr>
                <w:rFonts w:asciiTheme="minorEastAsia" w:hAnsiTheme="minorEastAsia" w:eastAsiaTheme="minorEastAsia" w:cstheme="minorEastAsia"/>
                <w:color w:val="000000"/>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支出成本控制在2万元以内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团委工作正常开展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乡镇团委经费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用于乡镇团委日常工作经费</w:t>
            </w:r>
            <w:r>
              <w:rPr>
                <w:rFonts w:hint="default" w:asciiTheme="minorEastAsia" w:hAnsiTheme="minorEastAsia" w:eastAsiaTheme="minorEastAsia" w:cstheme="minorEastAsia"/>
                <w:color w:val="000000"/>
                <w:szCs w:val="21"/>
              </w:rPr>
              <w:t>2</w:t>
            </w:r>
            <w:r>
              <w:rPr>
                <w:rFonts w:asciiTheme="minorEastAsia" w:hAnsiTheme="minorEastAsia" w:eastAsiaTheme="minorEastAsia" w:cstheme="minorEastAsia"/>
                <w:color w:val="000000"/>
                <w:szCs w:val="21"/>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团委工作正常开展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hint="default" w:asciiTheme="minorEastAsia" w:hAnsiTheme="minorEastAsia" w:eastAsiaTheme="minorEastAsia" w:cstheme="minorEastAsia"/>
                <w:color w:val="000000"/>
                <w:kern w:val="0"/>
                <w:szCs w:val="21"/>
              </w:rPr>
              <w:t>3</w:t>
            </w:r>
            <w:r>
              <w:rPr>
                <w:rFonts w:asciiTheme="minorEastAsia" w:hAnsiTheme="minorEastAsia" w:eastAsiaTheme="minorEastAsia" w:cstheme="minorEastAsia"/>
                <w:color w:val="000000"/>
                <w:kern w:val="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团委工作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附件4-2</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乡镇纪委经费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用于乡镇纪委日常工作经费3万元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支出成本控制在3万元以内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乡镇纪委工作正常开展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附件5-2</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3"/>
        <w:gridCol w:w="1103"/>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03"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53"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乡镇纪委经费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03"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5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03"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8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8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8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b/>
                <w:color w:val="000000"/>
                <w:szCs w:val="21"/>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8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8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03"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5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58"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用于乡镇纪委日常工作经费</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乡镇纪委工作正常开展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03"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10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10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10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hint="default" w:asciiTheme="minorEastAsia" w:hAnsiTheme="minorEastAsia" w:eastAsiaTheme="minorEastAsia" w:cstheme="minorEastAsia"/>
                <w:color w:val="000000"/>
                <w:kern w:val="0"/>
                <w:szCs w:val="21"/>
              </w:rPr>
              <w:t>3</w:t>
            </w:r>
            <w:r>
              <w:rPr>
                <w:rFonts w:asciiTheme="minorEastAsia" w:hAnsiTheme="minorEastAsia" w:eastAsiaTheme="minorEastAsia" w:cstheme="minorEastAsia"/>
                <w:color w:val="000000"/>
                <w:kern w:val="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10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10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10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纪委工作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03"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10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朱里源水库灌区水费粮食补助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12.57万元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支付朱里源水库灌区老百姓水费粮食费12.57万元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支出成本控制在12.57万元以内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补偿粮食数量44900公斤，补偿金额12.57万元</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附件5-3</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朱里源水库灌区水费粮食补助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12.57</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12.57</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12.57</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12.57</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12.57</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12.57</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支付朱里源水库灌区老百姓水费粮食费12.57万元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szCs w:val="21"/>
              </w:rPr>
              <w:t>补偿粮食数量44900公斤，补偿金额12.57万元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偏差原因</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分析及</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粮食补偿成本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12.57</w:t>
            </w:r>
            <w:r>
              <w:rPr>
                <w:rFonts w:asciiTheme="minorEastAsia" w:hAnsiTheme="minorEastAsia" w:eastAsiaTheme="minorEastAsia" w:cstheme="minorEastAsia"/>
                <w:color w:val="000000"/>
                <w:szCs w:val="21"/>
              </w:rPr>
              <w:br w:type="textWrapping"/>
            </w:r>
            <w:r>
              <w:rPr>
                <w:rFonts w:asciiTheme="minorEastAsia" w:hAnsiTheme="minorEastAsia" w:eastAsiaTheme="minorEastAsia" w:cstheme="minorEastAsia"/>
                <w:color w:val="000000"/>
                <w:szCs w:val="21"/>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12.57</w:t>
            </w:r>
            <w:r>
              <w:rPr>
                <w:rFonts w:hint="default" w:asciiTheme="minorEastAsia" w:hAnsiTheme="minorEastAsia" w:eastAsiaTheme="minorEastAsia" w:cstheme="minorEastAsia"/>
                <w:color w:val="000000"/>
                <w:szCs w:val="21"/>
              </w:rPr>
              <w:br w:type="textWrapping"/>
            </w:r>
            <w:r>
              <w:rPr>
                <w:rFonts w:asciiTheme="minorEastAsia" w:hAnsiTheme="minorEastAsia" w:eastAsiaTheme="minorEastAsia" w:cstheme="minorEastAsia"/>
                <w:color w:val="000000"/>
                <w:szCs w:val="21"/>
              </w:rPr>
              <w:t>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补偿粮食数量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44900</w:t>
            </w:r>
            <w:r>
              <w:rPr>
                <w:rFonts w:hint="default" w:asciiTheme="minorEastAsia" w:hAnsiTheme="minorEastAsia" w:eastAsiaTheme="minorEastAsia" w:cstheme="minorEastAsia"/>
                <w:color w:val="000000"/>
                <w:szCs w:val="21"/>
              </w:rPr>
              <w:br w:type="textWrapping"/>
            </w:r>
            <w:r>
              <w:rPr>
                <w:rFonts w:asciiTheme="minorEastAsia" w:hAnsiTheme="minorEastAsia" w:eastAsiaTheme="minorEastAsia" w:cstheme="minorEastAsia"/>
                <w:color w:val="000000"/>
                <w:szCs w:val="21"/>
              </w:rPr>
              <w:t>公斤</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44900</w:t>
            </w:r>
            <w:r>
              <w:rPr>
                <w:rFonts w:hint="default" w:asciiTheme="minorEastAsia" w:hAnsiTheme="minorEastAsia" w:eastAsiaTheme="minorEastAsia" w:cstheme="minorEastAsia"/>
                <w:color w:val="000000"/>
                <w:szCs w:val="21"/>
              </w:rPr>
              <w:br w:type="textWrapping"/>
            </w:r>
            <w:r>
              <w:rPr>
                <w:rFonts w:asciiTheme="minorEastAsia" w:hAnsiTheme="minorEastAsia" w:eastAsiaTheme="minorEastAsia" w:cstheme="minorEastAsia"/>
                <w:color w:val="000000"/>
                <w:szCs w:val="21"/>
              </w:rPr>
              <w:t>公斤</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补偿及时率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村民补偿</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村民满意度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乡镇人武经费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用于乡镇人武日常工作经费3万元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支出成本控制在3万元以内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人武工作正常开展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附件5-4</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乡镇人武经费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3</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szCs w:val="21"/>
              </w:rPr>
              <w:t>用于乡镇人武日常工作经费3万元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人武工作正常开展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人武工作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附件4-5</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乡镇工会经费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用于乡镇工会日常经费2万元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支出成本控制在2万元以内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乡镇工会活动正常开展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乡镇工会经费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szCs w:val="21"/>
              </w:rPr>
              <w:t>用于乡镇工会日常经费2万元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szCs w:val="21"/>
              </w:rPr>
              <w:t>乡镇工会活动正常开展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工会活动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附件4-6</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政协工委经费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用于政协工委日常工作经费2万元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支出成本控制在2万元以内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政协工作正常开展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附件5-6</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政协工委经费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用于政协工委日常工作经费</w:t>
            </w:r>
            <w:r>
              <w:rPr>
                <w:rFonts w:hint="default" w:asciiTheme="minorEastAsia" w:hAnsiTheme="minorEastAsia" w:eastAsiaTheme="minorEastAsia" w:cstheme="minorEastAsia"/>
                <w:color w:val="000000"/>
                <w:szCs w:val="21"/>
              </w:rPr>
              <w:t>2</w:t>
            </w:r>
            <w:r>
              <w:rPr>
                <w:rFonts w:asciiTheme="minorEastAsia" w:hAnsiTheme="minorEastAsia" w:eastAsiaTheme="minorEastAsia" w:cstheme="minorEastAsia"/>
                <w:color w:val="000000"/>
                <w:szCs w:val="21"/>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szCs w:val="21"/>
              </w:rPr>
              <w:t>政协工作正常开展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团委工作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附件4-7</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乡镇纪委办案经费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用于乡镇纪委办案经费9万元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支出成本控制在9万元以内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乡镇纪委办案工作正常开展，办案质量有所提升</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附件5-7</w:t>
      </w:r>
    </w:p>
    <w:p>
      <w:pPr>
        <w:spacing w:afterLines="50" w:line="5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r>
              <w:rPr>
                <w:rFonts w:hint="default" w:asciiTheme="minorEastAsia" w:hAnsiTheme="minorEastAsia" w:eastAsiaTheme="minorEastAsia" w:cstheme="minorEastAsia"/>
                <w:color w:val="000000"/>
                <w:szCs w:val="21"/>
              </w:rPr>
              <w:br w:type="textWrapping"/>
            </w: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乡镇纪委办案经费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8.76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400" w:lineRule="exact"/>
              <w:jc w:val="center"/>
              <w:rPr>
                <w:rFonts w:hint="default"/>
                <w:szCs w:val="21"/>
              </w:rPr>
            </w:pPr>
            <w:r>
              <w:rPr>
                <w:rFonts w:asciiTheme="minorEastAsia" w:hAnsiTheme="minorEastAsia" w:eastAsiaTheme="minorEastAsia" w:cstheme="minorEastAsia"/>
                <w:color w:val="000000"/>
                <w:szCs w:val="21"/>
              </w:rPr>
              <w:t>8.76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用于乡镇纪委办案经费</w:t>
            </w:r>
            <w:r>
              <w:rPr>
                <w:rFonts w:hint="default" w:asciiTheme="minorEastAsia" w:hAnsiTheme="minorEastAsia" w:eastAsiaTheme="minorEastAsia" w:cstheme="minorEastAsia"/>
                <w:color w:val="000000"/>
                <w:sz w:val="18"/>
                <w:szCs w:val="18"/>
              </w:rPr>
              <w:t>9</w:t>
            </w:r>
            <w:r>
              <w:rPr>
                <w:rFonts w:asciiTheme="minorEastAsia" w:hAnsiTheme="minorEastAsia" w:eastAsiaTheme="minorEastAsia" w:cstheme="minorEastAsia"/>
                <w:color w:val="000000"/>
                <w:sz w:val="18"/>
                <w:szCs w:val="18"/>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乡镇纪委办案工作正常开展，办案质量有所提升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8.76万元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w:t>
            </w:r>
            <w:r>
              <w:rPr>
                <w:rFonts w:asciiTheme="minorEastAsia" w:hAnsiTheme="minorEastAsia" w:eastAsiaTheme="minorEastAsia" w:cstheme="minorEastAsia"/>
                <w:color w:val="000000"/>
                <w:kern w:val="0"/>
                <w:szCs w:val="21"/>
              </w:rPr>
              <w:t>末付款退回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hint="default" w:asciiTheme="minorEastAsia" w:hAnsiTheme="minorEastAsia" w:eastAsiaTheme="minorEastAsia" w:cstheme="minorEastAsia"/>
                <w:color w:val="000000"/>
                <w:kern w:val="0"/>
                <w:szCs w:val="21"/>
              </w:rPr>
              <w:t>3</w:t>
            </w:r>
            <w:r>
              <w:rPr>
                <w:rFonts w:asciiTheme="minorEastAsia" w:hAnsiTheme="minorEastAsia" w:eastAsiaTheme="minorEastAsia" w:cstheme="minorEastAsia"/>
                <w:color w:val="000000"/>
                <w:kern w:val="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宋体" w:hAnsi="宋体" w:eastAsia="宋体" w:cs="宋体"/>
                <w:color w:val="000000"/>
                <w:szCs w:val="21"/>
              </w:rPr>
            </w:pPr>
            <w:r>
              <w:rPr>
                <w:rFonts w:ascii="宋体" w:hAnsi="宋体" w:eastAsia="宋体" w:cs="宋体"/>
                <w:color w:val="000000"/>
                <w:szCs w:val="21"/>
              </w:rPr>
              <w:t>提升乡镇纪委办案质量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有所提升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有所提升</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99.74</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附件4-8</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乡镇妇联经费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用于乡镇妇联日常工作经费</w:t>
            </w:r>
            <w:r>
              <w:rPr>
                <w:rFonts w:hint="default" w:asciiTheme="minorEastAsia" w:hAnsiTheme="minorEastAsia" w:eastAsiaTheme="minorEastAsia" w:cstheme="minorEastAsia"/>
                <w:sz w:val="24"/>
              </w:rPr>
              <w:t>2</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支出成本控制在2万元以内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妇联工作正常开展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附件5-8</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982"/>
        <w:gridCol w:w="10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乡镇妇联经费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用于乡镇妇联日常工作经费</w:t>
            </w:r>
            <w:r>
              <w:rPr>
                <w:rFonts w:hint="default" w:asciiTheme="minorEastAsia" w:hAnsiTheme="minorEastAsia" w:eastAsiaTheme="minorEastAsia" w:cstheme="minorEastAsia"/>
                <w:color w:val="000000"/>
                <w:szCs w:val="21"/>
              </w:rPr>
              <w:t>2</w:t>
            </w:r>
            <w:r>
              <w:rPr>
                <w:rFonts w:asciiTheme="minorEastAsia" w:hAnsiTheme="minorEastAsia" w:eastAsiaTheme="minorEastAsia" w:cstheme="minorEastAsia"/>
                <w:color w:val="000000"/>
                <w:szCs w:val="21"/>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妇联工作正常开展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6"/>
                <w:szCs w:val="16"/>
              </w:rPr>
            </w:pPr>
            <w:r>
              <w:rPr>
                <w:rFonts w:asciiTheme="minorEastAsia" w:hAnsiTheme="minorEastAsia" w:eastAsiaTheme="minorEastAsia" w:cstheme="minorEastAsia"/>
                <w:color w:val="000000"/>
                <w:sz w:val="16"/>
                <w:szCs w:val="16"/>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妇联工作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98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041"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98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041"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附件4-9</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乡镇人大主席团经费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用于乡镇人大主席团日常工作经费</w:t>
            </w:r>
            <w:r>
              <w:rPr>
                <w:rFonts w:hint="default" w:asciiTheme="minorEastAsia" w:hAnsiTheme="minorEastAsia" w:eastAsiaTheme="minorEastAsia" w:cstheme="minorEastAsia"/>
                <w:sz w:val="24"/>
              </w:rPr>
              <w:t>3</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支出成本控制在3万元以内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乡镇人大工作正常开展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附件5-9</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 w:val="24"/>
              </w:rPr>
              <w:t>乡镇人大主席团经费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用于乡镇人大主席团日常工作经费</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乡镇人大工作正常开展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人大工作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eastAsia="黑体"/>
          <w:color w:val="000000"/>
          <w:sz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color w:val="000000"/>
          <w:sz w:val="32"/>
          <w:szCs w:val="32"/>
        </w:rPr>
        <w:t>附件4-10</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2024年工伤保险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用于2024年缴纳职工工伤保险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支出成本控制在0.9万元以内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单位全年依法缴纳工伤保险，职工正常享受社会保障</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附件5-10</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2024年工伤保险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0.9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0.9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0.9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0.9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0.9</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0.9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用于2024年缴纳职工工伤保险</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单位全年依法缴纳工伤保险，职工正常享受社会保障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用于2024年缴纳职工工伤保险</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0.9万元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0.9万元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42人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 w:val="15"/>
                <w:szCs w:val="15"/>
              </w:rPr>
            </w:pPr>
            <w:r>
              <w:rPr>
                <w:rFonts w:asciiTheme="minorEastAsia" w:hAnsiTheme="minorEastAsia" w:eastAsiaTheme="minorEastAsia" w:cstheme="minorEastAsia"/>
                <w:color w:val="000000"/>
                <w:sz w:val="15"/>
                <w:szCs w:val="15"/>
              </w:rPr>
              <w:t>因职工调出调入，人数有所变化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拨付金额准确</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拨付金额准确</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保工资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正常运转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正常运转</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受益对象满意度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附件4-11</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县批经费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10.71万元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保障作风建设、劝返工作的完成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支出成本控制在10.71万元以内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相关工作完成并产生持续影响</w:t>
            </w:r>
          </w:p>
          <w:p>
            <w:pPr>
              <w:pStyle w:val="2"/>
              <w:ind w:leftChars="0" w:firstLine="0" w:firstLineChars="0"/>
              <w:jc w:val="center"/>
              <w:rPr>
                <w:rFonts w:hint="default"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附件5-11</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szCs w:val="21"/>
              </w:rPr>
              <w:t>县批经费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10.71</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10.71</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10.71</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10.71</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10.71</w:t>
            </w:r>
          </w:p>
        </w:tc>
        <w:tc>
          <w:tcPr>
            <w:tcW w:w="1140" w:type="dxa"/>
            <w:tcBorders>
              <w:top w:val="single" w:color="auto" w:sz="6" w:space="0"/>
              <w:left w:val="single" w:color="auto" w:sz="6" w:space="0"/>
              <w:bottom w:val="single" w:color="auto" w:sz="6" w:space="0"/>
              <w:right w:val="single" w:color="auto" w:sz="6" w:space="0"/>
              <w:tl2br w:val="nil"/>
              <w:tr2bl w:val="nil"/>
            </w:tcBorders>
            <w:noWrap/>
          </w:tcPr>
          <w:p>
            <w:pPr>
              <w:spacing w:line="380" w:lineRule="exact"/>
              <w:jc w:val="center"/>
              <w:rPr>
                <w:rFonts w:hint="default"/>
                <w:szCs w:val="21"/>
              </w:rPr>
            </w:pPr>
            <w:r>
              <w:rPr>
                <w:rFonts w:asciiTheme="minorEastAsia" w:hAnsiTheme="minorEastAsia" w:eastAsiaTheme="minorEastAsia" w:cstheme="minorEastAsia"/>
                <w:color w:val="000000"/>
                <w:szCs w:val="21"/>
              </w:rPr>
              <w:t>10.71</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保障作风建设、劝返工作的完成</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相关工作完成并产生持续影响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偏差原因</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分析及</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12.71万元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12.71万元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工作完成度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工作完成质量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有效提升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有效提升</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保工资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持续影响</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持续影响</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38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38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黑体" w:hAnsi="黑体" w:eastAsia="黑体" w:cs="黑体"/>
          <w:color w:val="000000"/>
          <w:sz w:val="32"/>
          <w:szCs w:val="32"/>
        </w:rPr>
      </w:pPr>
      <w:r>
        <w:rPr>
          <w:rFonts w:ascii="仿宋_GB2312" w:eastAsia="仿宋_GB2312" w:hAnsiTheme="minorEastAsia" w:cstheme="minorEastAsia"/>
          <w:sz w:val="22"/>
          <w:szCs w:val="22"/>
        </w:rPr>
        <w:t>填表人:吕玮伦 填报日期:2025年6月13日 联系电话:191****0290 单位负责人签字:</w:t>
      </w:r>
    </w:p>
    <w:p>
      <w:pPr>
        <w:pStyle w:val="2"/>
        <w:ind w:left="420"/>
        <w:rPr>
          <w:rFonts w:hint="default" w:eastAsia="黑体"/>
        </w:rPr>
      </w:pPr>
      <w:r>
        <w:rPr>
          <w:rFonts w:hint="default" w:eastAsia="黑体"/>
        </w:rPr>
        <w:br w:type="page"/>
      </w:r>
    </w:p>
    <w:p>
      <w:pPr>
        <w:spacing w:line="440" w:lineRule="exact"/>
        <w:jc w:val="left"/>
        <w:rPr>
          <w:rFonts w:hint="default" w:eastAsia="黑体"/>
          <w:color w:val="000000"/>
          <w:sz w:val="32"/>
        </w:rPr>
      </w:pPr>
      <w:r>
        <w:rPr>
          <w:rFonts w:ascii="黑体" w:hAnsi="黑体" w:eastAsia="黑体" w:cs="黑体"/>
          <w:color w:val="000000"/>
          <w:sz w:val="32"/>
          <w:szCs w:val="32"/>
        </w:rPr>
        <w:t>附件4-12</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乡镇消防站建设经费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保障乡镇消防站建设相关支出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支出成本控制在3万元以内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提升乡镇消防工作质量，保障消防安全</w:t>
            </w:r>
          </w:p>
          <w:p>
            <w:pPr>
              <w:pStyle w:val="2"/>
              <w:ind w:left="420"/>
              <w:rPr>
                <w:rFonts w:hint="default"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附件5-12</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428"/>
        <w:gridCol w:w="992"/>
        <w:gridCol w:w="109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乡镇消防站建设经费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4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保障乡镇消防站建设相关支出</w:t>
            </w:r>
          </w:p>
        </w:tc>
        <w:tc>
          <w:tcPr>
            <w:tcW w:w="394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提升乡镇消防工作质量，保障消防安全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控制相关工作成本</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3万元</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1个</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资金拨付准确度</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资金使用及时率</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95%</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社会效益指标</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提升乡镇消防工作质量，保障消防安全</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有所提升</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有所提升</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满意度指标</w:t>
            </w:r>
            <w:r>
              <w:rPr>
                <w:rFonts w:asciiTheme="minorEastAsia" w:hAnsiTheme="minorEastAsia" w:eastAsiaTheme="minorEastAsia" w:cstheme="minorEastAsia"/>
                <w:color w:val="000000"/>
                <w:szCs w:val="21"/>
              </w:rPr>
              <w:br w:type="textWrapping"/>
            </w: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4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附件4-13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乡镇党建工作专项经费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用于乡镇党建工作专项经费</w:t>
            </w:r>
            <w:r>
              <w:rPr>
                <w:rFonts w:hint="default" w:asciiTheme="minorEastAsia" w:hAnsiTheme="minorEastAsia" w:eastAsiaTheme="minorEastAsia" w:cstheme="minorEastAsia"/>
                <w:color w:val="000000"/>
                <w:sz w:val="24"/>
              </w:rPr>
              <w:t>3</w:t>
            </w:r>
            <w:r>
              <w:rPr>
                <w:rFonts w:asciiTheme="minorEastAsia" w:hAnsiTheme="minorEastAsia" w:eastAsiaTheme="minorEastAsia" w:cstheme="minorEastAsia"/>
                <w:color w:val="000000"/>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支出成本控制在3万元以内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乡镇党建工作正常开展</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附件5-13</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乡镇党建工作专项经费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用于乡镇党建工作专项经费</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乡镇党建工作正常开展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工作经费成本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经费使用对象数量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3</w:t>
            </w:r>
            <w:r>
              <w:rPr>
                <w:rFonts w:asciiTheme="minorEastAsia" w:hAnsiTheme="minorEastAsia" w:eastAsiaTheme="minorEastAsia" w:cstheme="minorEastAsia"/>
                <w:color w:val="000000"/>
                <w:szCs w:val="21"/>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资金拨及时率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党建工作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正常开展</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正常开展</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附件4-14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免费开放专项资金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4.6</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中央补助地方美术馆、公共图书馆、文化馆（站）免费开放专项资金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w:t>
            </w:r>
            <w:r>
              <w:rPr>
                <w:rFonts w:asciiTheme="minorEastAsia" w:hAnsiTheme="minorEastAsia" w:eastAsiaTheme="minorEastAsia" w:cstheme="minorEastAsia"/>
                <w:color w:val="000000"/>
                <w:szCs w:val="21"/>
              </w:rPr>
              <w:t>4.6</w:t>
            </w:r>
            <w:r>
              <w:rPr>
                <w:rFonts w:asciiTheme="minorEastAsia" w:hAnsiTheme="minorEastAsia" w:eastAsiaTheme="minorEastAsia" w:cstheme="minorEastAsia"/>
                <w:sz w:val="24"/>
              </w:rPr>
              <w:t>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提升乡镇美术馆、图书馆、文化站建设水平</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附件5-14</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免费开放专项资金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中央补助地方美术馆、公共图书馆、文化馆（站）免费开放专项资金</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提升乡镇美术馆、图书馆、文化站建设水平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投入成本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4.6万元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补助场地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提升职工文化素质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有效提升</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黑体" w:hAnsi="黑体" w:eastAsia="黑体" w:cs="黑体"/>
          <w:color w:val="000000"/>
          <w:sz w:val="32"/>
          <w:szCs w:val="32"/>
        </w:rPr>
      </w:pPr>
      <w:r>
        <w:rPr>
          <w:rFonts w:ascii="仿宋_GB2312" w:eastAsia="仿宋_GB2312" w:hAnsiTheme="minorEastAsia" w:cstheme="minorEastAsia"/>
          <w:sz w:val="22"/>
          <w:szCs w:val="22"/>
        </w:rPr>
        <w:t>填表人:吕玮伦 填报日期:2025年6月13日 联系电话:191****0290 单位负责人签字:</w:t>
      </w:r>
    </w:p>
    <w:p>
      <w:pPr>
        <w:pStyle w:val="2"/>
        <w:ind w:left="420"/>
        <w:rPr>
          <w:rFonts w:hint="default" w:eastAsia="黑体"/>
        </w:rPr>
      </w:pPr>
      <w:r>
        <w:rPr>
          <w:rFonts w:hint="default" w:eastAsia="黑体"/>
        </w:rPr>
        <w:br w:type="page"/>
      </w:r>
    </w:p>
    <w:p>
      <w:pPr>
        <w:spacing w:line="440" w:lineRule="exact"/>
        <w:jc w:val="left"/>
        <w:rPr>
          <w:rFonts w:hint="default" w:eastAsia="黑体"/>
          <w:color w:val="000000"/>
          <w:sz w:val="32"/>
        </w:rPr>
      </w:pPr>
      <w:r>
        <w:rPr>
          <w:rFonts w:ascii="黑体" w:hAnsi="黑体" w:eastAsia="黑体" w:cs="黑体"/>
          <w:color w:val="000000"/>
          <w:sz w:val="32"/>
          <w:szCs w:val="32"/>
        </w:rPr>
        <w:t>附件4-15</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年村干部养老保险省级补助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村党组织书记、村委会主任基本养老保险省级补助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支出成本控制在1.9万元以内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省级补助拨付到位，保障养老保险正常缴纳</w:t>
            </w:r>
          </w:p>
          <w:p>
            <w:pPr>
              <w:pStyle w:val="2"/>
              <w:ind w:leftChars="0"/>
              <w:jc w:val="center"/>
              <w:rPr>
                <w:rFonts w:hint="default"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hint="default" w:asciiTheme="minorEastAsia" w:hAnsiTheme="minorEastAsia" w:eastAsiaTheme="minorEastAsia" w:cstheme="minorEastAsia"/>
                <w:color w:val="000000"/>
                <w:szCs w:val="21"/>
              </w:rPr>
              <w:t>2024</w:t>
            </w:r>
            <w:r>
              <w:rPr>
                <w:rFonts w:asciiTheme="minorEastAsia" w:hAnsiTheme="minorEastAsia" w:eastAsiaTheme="minorEastAsia" w:cstheme="minorEastAsia"/>
                <w:color w:val="000000"/>
                <w:szCs w:val="21"/>
              </w:rPr>
              <w:t>年村干部养老保险省级补助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村党组织书记、村委会主任基本养老保险省级补助</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省级补助拨付到位，保障养老保险正常缴纳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补助标准成本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补助对象数量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补助拨付及时率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养老保险缴纳</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资金使用对象满意度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附件4-16</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村级运转经费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54</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用于理家坪乡九个村村级运转经费支出，保障村集体日常基本运转开支及村干部基本报酬支出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w:t>
            </w:r>
            <w:r>
              <w:rPr>
                <w:rFonts w:asciiTheme="minorEastAsia" w:hAnsiTheme="minorEastAsia" w:eastAsiaTheme="minorEastAsia" w:cstheme="minorEastAsia"/>
                <w:color w:val="000000"/>
                <w:szCs w:val="21"/>
              </w:rPr>
              <w:t>54</w:t>
            </w:r>
            <w:r>
              <w:rPr>
                <w:rFonts w:asciiTheme="minorEastAsia" w:hAnsiTheme="minorEastAsia" w:eastAsiaTheme="minorEastAsia" w:cstheme="minorEastAsia"/>
                <w:sz w:val="24"/>
              </w:rPr>
              <w:t>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资金已及时拨付到村委会，保障村集体正常运转</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附件5-16</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村级运转经费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用于理家坪乡九个村村级运转经费支出，保障村集体日常基本运转开支及村干部基本报酬支出</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资金已及时拨付到村委会，保障村集体正常运转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村集体运转成本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54万元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村集体数量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村集体运转效益提升率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村集体满意度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105" w:firstLineChars="50"/>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pStyle w:val="2"/>
        <w:ind w:left="420"/>
        <w:rPr>
          <w:rFonts w:hint="default" w:eastAsia="黑体"/>
        </w:rPr>
      </w:pPr>
    </w:p>
    <w:p>
      <w:pPr>
        <w:spacing w:line="440" w:lineRule="exact"/>
        <w:jc w:val="left"/>
        <w:rPr>
          <w:rFonts w:hint="default" w:eastAsia="黑体"/>
          <w:color w:val="000000"/>
          <w:sz w:val="32"/>
        </w:rPr>
      </w:pPr>
      <w:r>
        <w:rPr>
          <w:rFonts w:ascii="黑体" w:hAnsi="黑体" w:eastAsia="黑体" w:cs="黑体"/>
          <w:color w:val="000000"/>
          <w:sz w:val="32"/>
          <w:szCs w:val="32"/>
        </w:rPr>
        <w:t>附件4-17</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村级组织服务群众专项经费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用于理家坪乡九个村组织服务群众专项经费</w:t>
            </w:r>
            <w:r>
              <w:rPr>
                <w:rFonts w:hint="default" w:asciiTheme="minorEastAsia" w:hAnsiTheme="minorEastAsia" w:eastAsiaTheme="minorEastAsia" w:cstheme="minorEastAsia"/>
                <w:color w:val="000000"/>
                <w:sz w:val="24"/>
              </w:rPr>
              <w:t>9</w:t>
            </w:r>
            <w:r>
              <w:rPr>
                <w:rFonts w:asciiTheme="minorEastAsia" w:hAnsiTheme="minorEastAsia" w:eastAsiaTheme="minorEastAsia" w:cstheme="minorEastAsia"/>
                <w:color w:val="000000"/>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支出成本控制在9万元以内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资金已及时拨付到村委会，保障村集体正常开展服务群众工作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附件5-17</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村级组织服务群众专项经费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用于理家坪乡九个村组织服务群众专项经费</w:t>
            </w:r>
            <w:r>
              <w:rPr>
                <w:rFonts w:hint="default" w:asciiTheme="minorEastAsia" w:hAnsiTheme="minorEastAsia" w:eastAsiaTheme="minorEastAsia" w:cstheme="minorEastAsia"/>
                <w:color w:val="000000"/>
                <w:szCs w:val="21"/>
              </w:rPr>
              <w:t>9</w:t>
            </w:r>
            <w:r>
              <w:rPr>
                <w:rFonts w:asciiTheme="minorEastAsia" w:hAnsiTheme="minorEastAsia" w:eastAsiaTheme="minorEastAsia" w:cstheme="minorEastAsia"/>
                <w:color w:val="000000"/>
                <w:szCs w:val="21"/>
              </w:rPr>
              <w:t>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资金已及时拨付到村委会，保障村集体正常开展服务群众工作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服务群众成本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拨付村集体数量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21"/>
              </w:rPr>
              <w:t>组织服务群众效益提升率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105" w:firstLineChars="50"/>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附件4-18</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中央自然灾害救灾资金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中央下拨的各项自然灾害救灾资金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支出成本控制在3万元以内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资金已用于各项自然灾害救灾支出</w:t>
            </w:r>
          </w:p>
          <w:p>
            <w:pPr>
              <w:pStyle w:val="2"/>
              <w:ind w:left="420"/>
              <w:rPr>
                <w:rFonts w:hint="default"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附件5-18</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中央自然灾害救灾资金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2.25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7.5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75%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2.25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中央下拨的各项自然灾害救灾资金</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资金已用于各项自然灾害救灾支出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救灾资金</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2.25万元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根据当年实际使用情况拨付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救灾人数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50人</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50人</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拨付准确度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救灾资金拨付及时率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生态效益指标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自然环境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有效恢复</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有效恢复</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受灾对象满意度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pStyle w:val="2"/>
        <w:ind w:left="420"/>
        <w:rPr>
          <w:rFonts w:hint="default" w:eastAsia="黑体"/>
        </w:rPr>
      </w:pPr>
    </w:p>
    <w:p>
      <w:pPr>
        <w:spacing w:line="440" w:lineRule="exact"/>
        <w:jc w:val="left"/>
        <w:rPr>
          <w:rFonts w:hint="default" w:eastAsia="黑体"/>
          <w:color w:val="000000"/>
          <w:sz w:val="32"/>
        </w:rPr>
      </w:pPr>
      <w:r>
        <w:rPr>
          <w:rFonts w:ascii="黑体" w:hAnsi="黑体" w:eastAsia="黑体" w:cs="黑体"/>
          <w:color w:val="000000"/>
          <w:sz w:val="32"/>
          <w:szCs w:val="32"/>
        </w:rPr>
        <w:t>附件4-19</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坦田村岁圆楼古建筑群保护设施维修改造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11.21万元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用于坦田村岁圆楼古建筑群环境整治、周边环境改造及搬迁安置支出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支出成本控制在11.21万元以内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对岁月楼进行维修改造，加强对当地历史建筑的保护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附件5-19</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坦田村岁圆楼古建筑群保护设施维修改造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36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11.21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11.21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11.21</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11.21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11.21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default" w:asciiTheme="minorEastAsia" w:hAnsiTheme="minorEastAsia" w:eastAsiaTheme="minorEastAsia" w:cstheme="minorEastAsia"/>
                <w:color w:val="000000"/>
                <w:szCs w:val="21"/>
              </w:rPr>
              <w:t>11.21</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用于坦田村岁圆楼古建筑群环境整治、周边环境改造及搬迁安置支出</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对岁月楼进行维修改造，加强对当地历史建筑的保护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hint="default" w:asciiTheme="minorEastAsia" w:hAnsiTheme="minorEastAsia" w:eastAsiaTheme="minorEastAsia" w:cstheme="minorEastAsia"/>
                <w:color w:val="000000"/>
                <w:szCs w:val="21"/>
              </w:rPr>
              <w:t>11.21</w:t>
            </w:r>
            <w:r>
              <w:rPr>
                <w:rFonts w:asciiTheme="minorEastAsia" w:hAnsiTheme="minorEastAsia" w:eastAsiaTheme="minorEastAsia" w:cstheme="minorEastAsia"/>
                <w:color w:val="000000"/>
                <w:szCs w:val="21"/>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hint="default" w:asciiTheme="minorEastAsia" w:hAnsiTheme="minorEastAsia" w:eastAsiaTheme="minorEastAsia" w:cstheme="minorEastAsia"/>
                <w:color w:val="000000"/>
                <w:szCs w:val="21"/>
              </w:rPr>
              <w:t>11.21</w:t>
            </w:r>
            <w:r>
              <w:rPr>
                <w:rFonts w:asciiTheme="minorEastAsia" w:hAnsiTheme="minorEastAsia" w:eastAsiaTheme="minorEastAsia" w:cstheme="minorEastAsia"/>
                <w:color w:val="000000"/>
                <w:szCs w:val="21"/>
              </w:rPr>
              <w:t>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加装仿古式安全护栏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100米</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100米</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验收合格率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验收及时率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带动发展坦田村集体</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有效带动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有效带动</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vMerge w:val="continue"/>
            <w:tcBorders>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kern w:val="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21"/>
              </w:rPr>
              <w:t>持续改善岁月楼人居环境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持续改善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持续改善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受益对象满意度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6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36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36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黑体" w:hAnsi="黑体" w:eastAsia="黑体" w:cs="黑体"/>
          <w:color w:val="000000"/>
          <w:sz w:val="32"/>
          <w:szCs w:val="32"/>
        </w:rPr>
      </w:pPr>
      <w:r>
        <w:rPr>
          <w:rFonts w:ascii="仿宋_GB2312" w:eastAsia="仿宋_GB2312" w:hAnsiTheme="minorEastAsia" w:cstheme="minorEastAsia"/>
          <w:sz w:val="22"/>
          <w:szCs w:val="22"/>
        </w:rPr>
        <w:t>填表人:吕玮伦 填报日期:2025年6月13日 联系电话:191****0290 单位负责人签字:</w:t>
      </w:r>
    </w:p>
    <w:p>
      <w:pPr>
        <w:pStyle w:val="2"/>
        <w:ind w:leftChars="0" w:firstLine="0" w:firstLineChars="0"/>
        <w:rPr>
          <w:rFonts w:hint="default" w:eastAsia="黑体"/>
          <w:color w:val="000000"/>
          <w:sz w:val="32"/>
        </w:rPr>
      </w:pPr>
      <w:r>
        <w:rPr>
          <w:rFonts w:ascii="黑体" w:hAnsi="黑体" w:eastAsia="黑体" w:cs="黑体"/>
          <w:color w:val="000000"/>
          <w:sz w:val="32"/>
          <w:szCs w:val="32"/>
        </w:rPr>
        <w:t>附件4-20</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文化广场维修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3.45万元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用于理家坪乡文化广场维修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支出成本控制在3.45万元以内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文化广场维修完成，保障群众正常使用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附件5-20</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文化广场维修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用于理家坪乡文化广场维修</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文化广场维修完成，保障群众正常使用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偏差原因</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分析及</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工作成本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3.45万元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广场数量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验收合格率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提升文化范围</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有效提升</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受益对象满意度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80%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黑体" w:hAnsi="黑体" w:eastAsia="黑体" w:cs="黑体"/>
          <w:color w:val="000000"/>
          <w:sz w:val="32"/>
          <w:szCs w:val="32"/>
        </w:rPr>
      </w:pPr>
      <w:r>
        <w:rPr>
          <w:rFonts w:ascii="仿宋_GB2312" w:eastAsia="仿宋_GB2312" w:hAnsiTheme="minorEastAsia" w:cstheme="minorEastAsia"/>
          <w:sz w:val="22"/>
          <w:szCs w:val="22"/>
        </w:rPr>
        <w:t>填表人:吕玮伦 填报日期:2025年6月13日 联系电话:191****0290 单位负责人签字:</w:t>
      </w:r>
    </w:p>
    <w:p>
      <w:pPr>
        <w:pStyle w:val="2"/>
        <w:ind w:left="420"/>
        <w:rPr>
          <w:rFonts w:hint="default" w:eastAsia="黑体"/>
        </w:rPr>
      </w:pPr>
      <w:r>
        <w:rPr>
          <w:rFonts w:hint="default" w:eastAsia="黑体"/>
        </w:rPr>
        <w:br w:type="page"/>
      </w:r>
    </w:p>
    <w:p>
      <w:pPr>
        <w:spacing w:line="440" w:lineRule="exact"/>
        <w:jc w:val="left"/>
        <w:rPr>
          <w:rFonts w:hint="default" w:eastAsia="黑体"/>
          <w:color w:val="000000"/>
          <w:sz w:val="32"/>
        </w:rPr>
      </w:pPr>
      <w:r>
        <w:rPr>
          <w:rFonts w:ascii="黑体" w:hAnsi="黑体" w:eastAsia="黑体" w:cs="黑体"/>
          <w:color w:val="000000"/>
          <w:sz w:val="32"/>
          <w:szCs w:val="32"/>
        </w:rPr>
        <w:t>附件4-21</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抗旱打井资金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9.70万元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用于抗旱打井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支出成本控制在9.70万元以内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在乡镇进行抗旱打井，满足村民用水需要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600" w:lineRule="exact"/>
        <w:jc w:val="left"/>
        <w:rPr>
          <w:rFonts w:hint="default" w:ascii="黑体" w:hAnsi="黑体" w:eastAsia="黑体" w:cs="黑体"/>
          <w:sz w:val="32"/>
          <w:szCs w:val="32"/>
        </w:rPr>
      </w:pPr>
      <w:r>
        <w:rPr>
          <w:rFonts w:ascii="仿宋_GB2312" w:eastAsia="仿宋_GB2312" w:hAnsiTheme="minorEastAsia" w:cstheme="minorEastAsia"/>
          <w:sz w:val="22"/>
          <w:szCs w:val="22"/>
        </w:rPr>
        <w:t>填表人:吕玮伦 填报日期:2025年6月13日 联系电话:191****0290 单位负责人签字:</w:t>
      </w:r>
      <w:r>
        <w:rPr>
          <w:rFonts w:ascii="仿宋_GB2312" w:eastAsia="仿宋_GB2312"/>
          <w:sz w:val="22"/>
        </w:rPr>
        <w:br w:type="page"/>
      </w:r>
      <w:r>
        <w:rPr>
          <w:rFonts w:ascii="黑体" w:hAnsi="黑体" w:eastAsia="黑体" w:cs="黑体"/>
          <w:sz w:val="32"/>
          <w:szCs w:val="32"/>
        </w:rPr>
        <w:t>附件5-21</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项目支</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抗旱打井资金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双牌县理家坪乡人民政府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双牌县理家坪乡人民政府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项目资金</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年初</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全年</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w:t>
            </w:r>
          </w:p>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ind w:firstLine="630" w:firstLineChars="3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用于抗旱打井</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在乡镇进行抗旱打井，满足村民用水需要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项目施工成本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9.70万元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验收合格率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vMerge w:val="continue"/>
            <w:tcBorders>
              <w:left w:val="single" w:color="auto" w:sz="6"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拨付及时率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社会效益指标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旱期供水能力</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有效提升</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受益对象满意度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40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4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jc w:val="left"/>
        <w:rPr>
          <w:rFonts w:hint="default" w:ascii="仿宋_GB2312" w:eastAsia="仿宋_GB2312" w:hAnsiTheme="minorEastAsia" w:cstheme="minorEastAsia"/>
          <w:sz w:val="22"/>
          <w:szCs w:val="22"/>
        </w:rPr>
      </w:pPr>
      <w:r>
        <w:rPr>
          <w:rFonts w:ascii="仿宋_GB2312" w:eastAsia="仿宋_GB2312" w:hAnsiTheme="minorEastAsia" w:cstheme="minorEastAsia"/>
          <w:sz w:val="22"/>
          <w:szCs w:val="22"/>
        </w:rPr>
        <w:t>填表人:吕玮伦 填报日期:2025年6月13日 联系电话:191****0290 单位负责人签字:</w:t>
      </w:r>
    </w:p>
    <w:p>
      <w:pPr>
        <w:pStyle w:val="2"/>
        <w:ind w:left="420"/>
        <w:rPr>
          <w:rFonts w:hint="default" w:eastAsia="仿宋_GB2312"/>
        </w:rPr>
      </w:pPr>
      <w:r>
        <w:rPr>
          <w:rFonts w:hint="default" w:eastAsia="仿宋_GB2312"/>
        </w:rPr>
        <w:br w:type="page"/>
      </w:r>
    </w:p>
    <w:p>
      <w:pPr>
        <w:rPr>
          <w:rFonts w:hint="default"/>
        </w:rPr>
      </w:pPr>
      <w:bookmarkStart w:id="0" w:name="_GoBack"/>
      <w:bookmarkEnd w:id="0"/>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469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path/>
          <v:fill on="f" focussize="0,0"/>
          <v:stroke on="f" joinstyle="miter"/>
          <v:imagedata o:title=""/>
          <o:lock v:ext="edit"/>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11</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480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path/>
          <v:fill on="f" focussize="0,0"/>
          <v:stroke on="f" joinstyle="miter"/>
          <v:imagedata o:title=""/>
          <o:lock v:ext="edit"/>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67922"/>
    <w:multiLevelType w:val="multilevel"/>
    <w:tmpl w:val="1D667922"/>
    <w:lvl w:ilvl="0" w:tentative="0">
      <w:start w:val="1"/>
      <w:numFmt w:val="japaneseCounting"/>
      <w:lvlText w:val="（%1）"/>
      <w:lvlJc w:val="left"/>
      <w:pPr>
        <w:ind w:left="1600" w:hanging="9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yMGQxMWRlNGIzN2U3OTIwZTcyOWUxZTM3NjFmOGYifQ=="/>
  </w:docVars>
  <w:rsids>
    <w:rsidRoot w:val="00172A27"/>
    <w:rsid w:val="000137C3"/>
    <w:rsid w:val="00026EBC"/>
    <w:rsid w:val="000340CB"/>
    <w:rsid w:val="0003486D"/>
    <w:rsid w:val="000612FC"/>
    <w:rsid w:val="00075A5D"/>
    <w:rsid w:val="00087CAF"/>
    <w:rsid w:val="000907EC"/>
    <w:rsid w:val="000E0241"/>
    <w:rsid w:val="000E4F01"/>
    <w:rsid w:val="000F3B58"/>
    <w:rsid w:val="00121ADB"/>
    <w:rsid w:val="001417AC"/>
    <w:rsid w:val="001718A9"/>
    <w:rsid w:val="00172A27"/>
    <w:rsid w:val="00174855"/>
    <w:rsid w:val="001873D3"/>
    <w:rsid w:val="001B3860"/>
    <w:rsid w:val="001E1D76"/>
    <w:rsid w:val="001E2D9C"/>
    <w:rsid w:val="00200A9A"/>
    <w:rsid w:val="00206934"/>
    <w:rsid w:val="00221E82"/>
    <w:rsid w:val="00223A7D"/>
    <w:rsid w:val="00233541"/>
    <w:rsid w:val="00264E0A"/>
    <w:rsid w:val="00272732"/>
    <w:rsid w:val="002876ED"/>
    <w:rsid w:val="002967CC"/>
    <w:rsid w:val="002A32DD"/>
    <w:rsid w:val="002A6E1A"/>
    <w:rsid w:val="002B5D04"/>
    <w:rsid w:val="002D2891"/>
    <w:rsid w:val="00300B93"/>
    <w:rsid w:val="003111DF"/>
    <w:rsid w:val="003724DA"/>
    <w:rsid w:val="003B3C8F"/>
    <w:rsid w:val="003C74E0"/>
    <w:rsid w:val="003E0C6B"/>
    <w:rsid w:val="004057AA"/>
    <w:rsid w:val="00420444"/>
    <w:rsid w:val="004A566C"/>
    <w:rsid w:val="004C61D2"/>
    <w:rsid w:val="004F4FE3"/>
    <w:rsid w:val="00502746"/>
    <w:rsid w:val="00523222"/>
    <w:rsid w:val="00533F46"/>
    <w:rsid w:val="00534E6D"/>
    <w:rsid w:val="00555BAE"/>
    <w:rsid w:val="005725E8"/>
    <w:rsid w:val="005B0B6E"/>
    <w:rsid w:val="00621402"/>
    <w:rsid w:val="00627062"/>
    <w:rsid w:val="00661A02"/>
    <w:rsid w:val="00665DC4"/>
    <w:rsid w:val="00675731"/>
    <w:rsid w:val="00677DD3"/>
    <w:rsid w:val="006B3CD3"/>
    <w:rsid w:val="007378DC"/>
    <w:rsid w:val="00763C8A"/>
    <w:rsid w:val="007705AA"/>
    <w:rsid w:val="00774A1C"/>
    <w:rsid w:val="007914C6"/>
    <w:rsid w:val="00796BA9"/>
    <w:rsid w:val="007D4D15"/>
    <w:rsid w:val="007E484A"/>
    <w:rsid w:val="008117F8"/>
    <w:rsid w:val="00812371"/>
    <w:rsid w:val="00840E0D"/>
    <w:rsid w:val="00847AFA"/>
    <w:rsid w:val="008A550A"/>
    <w:rsid w:val="008B4121"/>
    <w:rsid w:val="008D4368"/>
    <w:rsid w:val="008E022C"/>
    <w:rsid w:val="008E2AEF"/>
    <w:rsid w:val="009038EE"/>
    <w:rsid w:val="00940455"/>
    <w:rsid w:val="009666A8"/>
    <w:rsid w:val="009A6C91"/>
    <w:rsid w:val="009B3280"/>
    <w:rsid w:val="009B5985"/>
    <w:rsid w:val="009B778B"/>
    <w:rsid w:val="009E13FF"/>
    <w:rsid w:val="00A218D2"/>
    <w:rsid w:val="00A645EA"/>
    <w:rsid w:val="00A8444B"/>
    <w:rsid w:val="00AE1E5A"/>
    <w:rsid w:val="00B051D6"/>
    <w:rsid w:val="00B121D8"/>
    <w:rsid w:val="00B8123B"/>
    <w:rsid w:val="00BC1B60"/>
    <w:rsid w:val="00C17A8D"/>
    <w:rsid w:val="00C40D04"/>
    <w:rsid w:val="00CC7698"/>
    <w:rsid w:val="00CE08F1"/>
    <w:rsid w:val="00CE3812"/>
    <w:rsid w:val="00CE562C"/>
    <w:rsid w:val="00D27B41"/>
    <w:rsid w:val="00D27BA4"/>
    <w:rsid w:val="00D42D40"/>
    <w:rsid w:val="00D804B8"/>
    <w:rsid w:val="00DC1DFF"/>
    <w:rsid w:val="00DD2964"/>
    <w:rsid w:val="00DF39CF"/>
    <w:rsid w:val="00E00D88"/>
    <w:rsid w:val="00E144EE"/>
    <w:rsid w:val="00E63545"/>
    <w:rsid w:val="00E65AD1"/>
    <w:rsid w:val="00E80730"/>
    <w:rsid w:val="00EB39A0"/>
    <w:rsid w:val="00EC0F1B"/>
    <w:rsid w:val="00F0516B"/>
    <w:rsid w:val="00F14DCC"/>
    <w:rsid w:val="00F305BA"/>
    <w:rsid w:val="00F33505"/>
    <w:rsid w:val="00F460ED"/>
    <w:rsid w:val="00F626A5"/>
    <w:rsid w:val="00FB6896"/>
    <w:rsid w:val="0CCE5073"/>
    <w:rsid w:val="101F3C57"/>
    <w:rsid w:val="105E064F"/>
    <w:rsid w:val="154B3473"/>
    <w:rsid w:val="15B02F86"/>
    <w:rsid w:val="1BCE59A7"/>
    <w:rsid w:val="1D5E5630"/>
    <w:rsid w:val="1F9C1D8C"/>
    <w:rsid w:val="20BA3D5C"/>
    <w:rsid w:val="20FE29CD"/>
    <w:rsid w:val="213827F6"/>
    <w:rsid w:val="24756501"/>
    <w:rsid w:val="2AF82401"/>
    <w:rsid w:val="31EF3498"/>
    <w:rsid w:val="33457B5A"/>
    <w:rsid w:val="33EA0D37"/>
    <w:rsid w:val="38EA5012"/>
    <w:rsid w:val="3DFB432B"/>
    <w:rsid w:val="41A60F90"/>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ABA52A9"/>
    <w:rsid w:val="5C8E01AF"/>
    <w:rsid w:val="62BE6D8B"/>
    <w:rsid w:val="64E742EF"/>
    <w:rsid w:val="684B0AD7"/>
    <w:rsid w:val="6E351362"/>
    <w:rsid w:val="6FDD8682"/>
    <w:rsid w:val="75073918"/>
    <w:rsid w:val="771A18F7"/>
    <w:rsid w:val="7E991F23"/>
    <w:rsid w:val="7EB551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link w:val="16"/>
    <w:qFormat/>
    <w:uiPriority w:val="0"/>
    <w:pPr>
      <w:jc w:val="left"/>
    </w:pPr>
  </w:style>
  <w:style w:type="paragraph" w:styleId="5">
    <w:name w:val="Balloon Text"/>
    <w:basedOn w:val="1"/>
    <w:link w:val="18"/>
    <w:qFormat/>
    <w:uiPriority w:val="0"/>
    <w:rPr>
      <w:sz w:val="18"/>
      <w:szCs w:val="18"/>
    </w:rPr>
  </w:style>
  <w:style w:type="paragraph" w:styleId="6">
    <w:name w:val="footer"/>
    <w:basedOn w:val="1"/>
    <w:link w:val="19"/>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9">
    <w:name w:val="annotation subject"/>
    <w:basedOn w:val="4"/>
    <w:next w:val="4"/>
    <w:link w:val="17"/>
    <w:qFormat/>
    <w:uiPriority w:val="0"/>
    <w:rPr>
      <w:b/>
      <w:bCs/>
    </w:rPr>
  </w:style>
  <w:style w:type="character" w:styleId="12">
    <w:name w:val="annotation reference"/>
    <w:basedOn w:val="11"/>
    <w:qFormat/>
    <w:uiPriority w:val="0"/>
    <w:rPr>
      <w:sz w:val="21"/>
      <w:szCs w:val="21"/>
    </w:rPr>
  </w:style>
  <w:style w:type="paragraph" w:customStyle="1" w:styleId="13">
    <w:name w:val="列出段落1"/>
    <w:basedOn w:val="1"/>
    <w:unhideWhenUsed/>
    <w:qFormat/>
    <w:uiPriority w:val="34"/>
    <w:pPr>
      <w:ind w:firstLine="420" w:firstLineChars="200"/>
    </w:pPr>
    <w:rPr>
      <w:rFonts w:ascii="仿宋" w:hAnsi="仿宋" w:eastAsia="仿宋"/>
      <w:kern w:val="0"/>
      <w:sz w:val="28"/>
    </w:rPr>
  </w:style>
  <w:style w:type="paragraph" w:styleId="14">
    <w:name w:val="List Paragraph"/>
    <w:basedOn w:val="1"/>
    <w:unhideWhenUsed/>
    <w:qFormat/>
    <w:uiPriority w:val="99"/>
    <w:pPr>
      <w:ind w:firstLine="420" w:firstLineChars="200"/>
    </w:pPr>
    <w:rPr>
      <w:rFonts w:hint="default" w:ascii="Calibri" w:hAnsi="Calibri"/>
      <w:kern w:val="0"/>
      <w:sz w:val="28"/>
    </w:rPr>
  </w:style>
  <w:style w:type="character" w:customStyle="1" w:styleId="15">
    <w:name w:val="页眉 Char"/>
    <w:basedOn w:val="11"/>
    <w:link w:val="7"/>
    <w:qFormat/>
    <w:uiPriority w:val="0"/>
    <w:rPr>
      <w:rFonts w:ascii="Times New Roman" w:hAnsi="Times New Roman" w:eastAsia="Times New Roman"/>
      <w:kern w:val="2"/>
      <w:sz w:val="18"/>
      <w:szCs w:val="18"/>
    </w:rPr>
  </w:style>
  <w:style w:type="character" w:customStyle="1" w:styleId="16">
    <w:name w:val="批注文字 Char"/>
    <w:basedOn w:val="11"/>
    <w:link w:val="4"/>
    <w:qFormat/>
    <w:uiPriority w:val="0"/>
    <w:rPr>
      <w:rFonts w:ascii="Times New Roman" w:hAnsi="Times New Roman" w:eastAsia="Times New Roman"/>
      <w:kern w:val="2"/>
      <w:sz w:val="21"/>
      <w:szCs w:val="24"/>
    </w:rPr>
  </w:style>
  <w:style w:type="character" w:customStyle="1" w:styleId="17">
    <w:name w:val="批注主题 Char"/>
    <w:basedOn w:val="16"/>
    <w:link w:val="9"/>
    <w:qFormat/>
    <w:uiPriority w:val="0"/>
    <w:rPr>
      <w:rFonts w:ascii="Times New Roman" w:hAnsi="Times New Roman" w:eastAsia="Times New Roman"/>
      <w:b/>
      <w:bCs/>
      <w:kern w:val="2"/>
      <w:sz w:val="21"/>
      <w:szCs w:val="24"/>
    </w:rPr>
  </w:style>
  <w:style w:type="character" w:customStyle="1" w:styleId="18">
    <w:name w:val="批注框文本 Char"/>
    <w:basedOn w:val="11"/>
    <w:link w:val="5"/>
    <w:qFormat/>
    <w:uiPriority w:val="0"/>
    <w:rPr>
      <w:rFonts w:ascii="Times New Roman" w:hAnsi="Times New Roman" w:eastAsia="Times New Roman"/>
      <w:kern w:val="2"/>
      <w:sz w:val="18"/>
      <w:szCs w:val="18"/>
    </w:rPr>
  </w:style>
  <w:style w:type="character" w:customStyle="1" w:styleId="19">
    <w:name w:val="页脚 Char"/>
    <w:basedOn w:val="11"/>
    <w:link w:val="6"/>
    <w:qFormat/>
    <w:uiPriority w:val="0"/>
    <w:rPr>
      <w:rFonts w:ascii="Times New Roman" w:hAnsi="Times New Roman" w:eastAsia="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16310</Words>
  <Characters>8563</Characters>
  <Lines>71</Lines>
  <Paragraphs>49</Paragraphs>
  <TotalTime>2813</TotalTime>
  <ScaleCrop>false</ScaleCrop>
  <LinksUpToDate>false</LinksUpToDate>
  <CharactersWithSpaces>24824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cp:lastPrinted>2025-06-19T11:47:00Z</cp:lastPrinted>
  <dcterms:modified xsi:type="dcterms:W3CDTF">2025-09-16T17:04:08Z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