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center"/>
        <w:textAlignment w:val="auto"/>
        <w:outlineLvl w:val="0"/>
        <w:rPr>
          <w:rStyle w:val="14"/>
          <w:rFonts w:hint="eastAsia" w:ascii="方正小标宋简体" w:hAnsi="方正小标宋简体" w:eastAsia="方正小标宋简体" w:cs="方正小标宋简体"/>
          <w:bCs w:val="0"/>
          <w:sz w:val="44"/>
          <w:szCs w:val="44"/>
        </w:rPr>
      </w:pPr>
      <w:r>
        <w:rPr>
          <w:rStyle w:val="14"/>
          <w:rFonts w:hint="eastAsia" w:ascii="方正小标宋简体" w:hAnsi="方正小标宋简体" w:eastAsia="方正小标宋简体" w:cs="方正小标宋简体"/>
          <w:bCs w:val="0"/>
          <w:sz w:val="44"/>
          <w:szCs w:val="44"/>
        </w:rPr>
        <w:t>202</w:t>
      </w:r>
      <w:r>
        <w:rPr>
          <w:rStyle w:val="14"/>
          <w:rFonts w:hint="eastAsia" w:ascii="方正小标宋简体" w:hAnsi="方正小标宋简体" w:eastAsia="方正小标宋简体" w:cs="方正小标宋简体"/>
          <w:bCs w:val="0"/>
          <w:sz w:val="44"/>
          <w:szCs w:val="44"/>
          <w:lang w:val="en-US" w:eastAsia="zh-CN"/>
        </w:rPr>
        <w:t>4</w:t>
      </w:r>
      <w:r>
        <w:rPr>
          <w:rStyle w:val="14"/>
          <w:rFonts w:hint="eastAsia" w:ascii="方正小标宋简体" w:hAnsi="方正小标宋简体" w:eastAsia="方正小标宋简体" w:cs="方正小标宋简体"/>
          <w:bCs w:val="0"/>
          <w:sz w:val="44"/>
          <w:szCs w:val="44"/>
        </w:rPr>
        <w:t>年度</w:t>
      </w:r>
      <w:r>
        <w:rPr>
          <w:rStyle w:val="14"/>
          <w:rFonts w:hint="eastAsia" w:ascii="方正小标宋简体" w:hAnsi="方正小标宋简体" w:eastAsia="方正小标宋简体" w:cs="方正小标宋简体"/>
          <w:bCs w:val="0"/>
          <w:sz w:val="44"/>
          <w:szCs w:val="44"/>
          <w:lang w:eastAsia="zh-CN"/>
        </w:rPr>
        <w:t>畜牧水产事务中心</w:t>
      </w:r>
      <w:r>
        <w:rPr>
          <w:rStyle w:val="14"/>
          <w:rFonts w:hint="eastAsia" w:ascii="方正小标宋简体" w:hAnsi="方正小标宋简体" w:eastAsia="方正小标宋简体" w:cs="方正小标宋简体"/>
          <w:bCs w:val="0"/>
          <w:sz w:val="44"/>
          <w:szCs w:val="44"/>
        </w:rPr>
        <w:t>部门（单位）</w:t>
      </w:r>
    </w:p>
    <w:p>
      <w:pPr>
        <w:keepNext w:val="0"/>
        <w:keepLines w:val="0"/>
        <w:pageBreakBefore w:val="0"/>
        <w:kinsoku/>
        <w:wordWrap/>
        <w:overflowPunct/>
        <w:topLinePunct w:val="0"/>
        <w:autoSpaceDE/>
        <w:autoSpaceDN/>
        <w:bidi w:val="0"/>
        <w:adjustRightInd/>
        <w:spacing w:line="560" w:lineRule="exact"/>
        <w:jc w:val="center"/>
        <w:textAlignment w:val="auto"/>
        <w:outlineLvl w:val="0"/>
        <w:rPr>
          <w:rStyle w:val="14"/>
          <w:rFonts w:hint="eastAsia" w:ascii="方正小标宋简体" w:hAnsi="方正小标宋简体" w:eastAsia="方正小标宋简体" w:cs="方正小标宋简体"/>
          <w:bCs w:val="0"/>
          <w:sz w:val="44"/>
          <w:szCs w:val="44"/>
        </w:rPr>
      </w:pPr>
      <w:r>
        <w:rPr>
          <w:rStyle w:val="14"/>
          <w:rFonts w:hint="eastAsia" w:ascii="方正小标宋简体" w:hAnsi="方正小标宋简体" w:eastAsia="方正小标宋简体" w:cs="方正小标宋简体"/>
          <w:bCs w:val="0"/>
          <w:sz w:val="44"/>
          <w:szCs w:val="44"/>
        </w:rPr>
        <w:t>整体支出绩效自评报告</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jc w:val="center"/>
        <w:textAlignment w:val="auto"/>
        <w:outlineLvl w:val="0"/>
        <w:rPr>
          <w:rStyle w:val="14"/>
          <w:rFonts w:hint="eastAsia" w:ascii="仿宋_GB2312" w:hAnsi="仿宋_GB2312" w:eastAsia="仿宋_GB2312" w:cs="仿宋_GB2312"/>
          <w:bCs w:val="0"/>
          <w:sz w:val="32"/>
          <w:szCs w:val="32"/>
        </w:rPr>
      </w:pPr>
      <w:r>
        <w:rPr>
          <w:rStyle w:val="14"/>
          <w:rFonts w:hint="eastAsia" w:ascii="仿宋_GB2312" w:hAnsi="仿宋_GB2312" w:eastAsia="仿宋_GB2312" w:cs="仿宋_GB2312"/>
          <w:bCs w:val="0"/>
          <w:sz w:val="32"/>
          <w:szCs w:val="32"/>
        </w:rPr>
        <w:t>单位名称（盖章）：</w:t>
      </w:r>
    </w:p>
    <w:p>
      <w:pPr>
        <w:keepNext w:val="0"/>
        <w:keepLines w:val="0"/>
        <w:pageBreakBefore w:val="0"/>
        <w:kinsoku/>
        <w:wordWrap/>
        <w:overflowPunct/>
        <w:topLinePunct w:val="0"/>
        <w:autoSpaceDE/>
        <w:autoSpaceDN/>
        <w:bidi w:val="0"/>
        <w:adjustRightInd/>
        <w:spacing w:line="560" w:lineRule="exact"/>
        <w:ind w:firstLine="640" w:firstLineChars="200"/>
        <w:jc w:val="center"/>
        <w:textAlignment w:val="auto"/>
        <w:rPr>
          <w:rStyle w:val="14"/>
          <w:rFonts w:hint="eastAsia" w:ascii="仿宋_GB2312" w:hAnsi="仿宋_GB2312" w:eastAsia="仿宋_GB2312" w:cs="仿宋_GB2312"/>
          <w:bCs w:val="0"/>
          <w:sz w:val="32"/>
          <w:szCs w:val="32"/>
        </w:rPr>
      </w:pPr>
    </w:p>
    <w:p>
      <w:pPr>
        <w:keepNext w:val="0"/>
        <w:keepLines w:val="0"/>
        <w:pageBreakBefore w:val="0"/>
        <w:kinsoku/>
        <w:wordWrap/>
        <w:overflowPunct/>
        <w:topLinePunct w:val="0"/>
        <w:autoSpaceDE/>
        <w:autoSpaceDN/>
        <w:bidi w:val="0"/>
        <w:adjustRightInd/>
        <w:spacing w:line="560" w:lineRule="exact"/>
        <w:jc w:val="center"/>
        <w:textAlignment w:val="auto"/>
        <w:outlineLvl w:val="0"/>
        <w:rPr>
          <w:rStyle w:val="14"/>
          <w:rFonts w:hint="eastAsia" w:ascii="仿宋_GB2312" w:hAnsi="仿宋_GB2312" w:eastAsia="仿宋_GB2312" w:cs="仿宋_GB2312"/>
          <w:bCs w:val="0"/>
          <w:sz w:val="32"/>
          <w:szCs w:val="32"/>
        </w:rPr>
      </w:pPr>
      <w:r>
        <w:rPr>
          <w:rStyle w:val="14"/>
          <w:rFonts w:hint="eastAsia" w:ascii="仿宋_GB2312" w:hAnsi="仿宋_GB2312" w:eastAsia="仿宋_GB2312" w:cs="仿宋_GB2312"/>
          <w:bCs w:val="0"/>
          <w:sz w:val="32"/>
          <w:szCs w:val="32"/>
        </w:rPr>
        <w:t>202</w:t>
      </w:r>
      <w:r>
        <w:rPr>
          <w:rStyle w:val="14"/>
          <w:rFonts w:hint="eastAsia" w:ascii="仿宋_GB2312" w:hAnsi="仿宋_GB2312" w:eastAsia="仿宋_GB2312" w:cs="仿宋_GB2312"/>
          <w:bCs w:val="0"/>
          <w:sz w:val="32"/>
          <w:szCs w:val="32"/>
          <w:lang w:val="en-US" w:eastAsia="zh-CN"/>
        </w:rPr>
        <w:t>5</w:t>
      </w:r>
      <w:r>
        <w:rPr>
          <w:rStyle w:val="14"/>
          <w:rFonts w:hint="eastAsia" w:ascii="仿宋_GB2312" w:hAnsi="仿宋_GB2312" w:eastAsia="仿宋_GB2312" w:cs="仿宋_GB2312"/>
          <w:bCs w:val="0"/>
          <w:sz w:val="32"/>
          <w:szCs w:val="32"/>
        </w:rPr>
        <w:t>年</w:t>
      </w:r>
      <w:r>
        <w:rPr>
          <w:rStyle w:val="14"/>
          <w:rFonts w:hint="eastAsia" w:ascii="仿宋_GB2312" w:hAnsi="仿宋_GB2312" w:eastAsia="仿宋_GB2312" w:cs="仿宋_GB2312"/>
          <w:bCs w:val="0"/>
          <w:sz w:val="32"/>
          <w:szCs w:val="32"/>
          <w:lang w:val="en-US" w:eastAsia="zh-CN"/>
        </w:rPr>
        <w:t>6</w:t>
      </w:r>
      <w:r>
        <w:rPr>
          <w:rStyle w:val="14"/>
          <w:rFonts w:hint="eastAsia" w:ascii="仿宋_GB2312" w:hAnsi="仿宋_GB2312" w:eastAsia="仿宋_GB2312" w:cs="仿宋_GB2312"/>
          <w:bCs w:val="0"/>
          <w:sz w:val="32"/>
          <w:szCs w:val="32"/>
        </w:rPr>
        <w:t xml:space="preserve">月 </w:t>
      </w:r>
      <w:r>
        <w:rPr>
          <w:rStyle w:val="14"/>
          <w:rFonts w:hint="eastAsia" w:ascii="仿宋_GB2312" w:hAnsi="仿宋_GB2312" w:eastAsia="仿宋_GB2312" w:cs="仿宋_GB2312"/>
          <w:bCs w:val="0"/>
          <w:sz w:val="32"/>
          <w:szCs w:val="32"/>
          <w:lang w:val="en-US" w:eastAsia="zh-CN"/>
        </w:rPr>
        <w:t>13</w:t>
      </w:r>
      <w:r>
        <w:rPr>
          <w:rStyle w:val="14"/>
          <w:rFonts w:hint="eastAsia" w:ascii="仿宋_GB2312" w:hAnsi="仿宋_GB2312" w:eastAsia="仿宋_GB2312" w:cs="仿宋_GB2312"/>
          <w:bCs w:val="0"/>
          <w:sz w:val="32"/>
          <w:szCs w:val="32"/>
        </w:rPr>
        <w:t xml:space="preserve"> 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Style w:val="14"/>
          <w:rFonts w:hint="eastAsia" w:ascii="仿宋_GB2312" w:hAnsi="仿宋_GB2312" w:eastAsia="仿宋_GB2312" w:cs="仿宋_GB2312"/>
          <w:bCs w:val="0"/>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Style w:val="14"/>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br w:type="page"/>
      </w:r>
      <w:r>
        <w:rPr>
          <w:rStyle w:val="14"/>
          <w:rFonts w:hint="eastAsia" w:ascii="黑体" w:hAnsi="黑体" w:eastAsia="黑体" w:cs="黑体"/>
          <w:bCs w:val="0"/>
          <w:sz w:val="32"/>
          <w:szCs w:val="32"/>
          <w:lang w:val="en-US" w:eastAsia="zh-CN"/>
        </w:rPr>
        <w:t>一、</w:t>
      </w:r>
      <w:r>
        <w:rPr>
          <w:rStyle w:val="14"/>
          <w:rFonts w:hint="eastAsia" w:ascii="黑体" w:hAnsi="黑体" w:eastAsia="黑体" w:cs="黑体"/>
          <w:bCs w:val="0"/>
          <w:sz w:val="32"/>
          <w:szCs w:val="32"/>
        </w:rPr>
        <w:t>部门（单位）基本情况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1"/>
        <w:rPr>
          <w:rStyle w:val="14"/>
          <w:rFonts w:hint="eastAsia" w:ascii="仿宋_GB2312" w:hAnsi="仿宋_GB2312" w:eastAsia="仿宋_GB2312" w:cs="仿宋_GB2312"/>
          <w:bCs w:val="0"/>
          <w:sz w:val="32"/>
          <w:szCs w:val="32"/>
        </w:rPr>
      </w:pPr>
      <w:r>
        <w:rPr>
          <w:rStyle w:val="14"/>
          <w:rFonts w:hint="eastAsia" w:ascii="仿宋_GB2312" w:hAnsi="仿宋_GB2312" w:eastAsia="仿宋_GB2312" w:cs="仿宋_GB2312"/>
          <w:bCs w:val="0"/>
          <w:sz w:val="32"/>
          <w:szCs w:val="32"/>
        </w:rPr>
        <w:t>1．职能职责</w:t>
      </w:r>
    </w:p>
    <w:p>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（1）按照养殖业有关法律法规和方针政策的要求，为全县畜牧业、渔业发展和资源保护提供技术支撑和服务保障。</w:t>
      </w:r>
    </w:p>
    <w:p>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（2）承担养殖业生产、市场信息监测和统计分析工作。研究提出畜牧业、渔业产业发展与资源保护措施建议，承担畜牧业、渔业发展项目相关服务性工作。</w:t>
      </w:r>
    </w:p>
    <w:p>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（3）研究提出全县养殖业技术推广规划和体系建设规划意见，协助组织开展全县养殖业技术推广和专业技术人员培训。参与畜牧水产项目的实施、验收。</w:t>
      </w:r>
    </w:p>
    <w:p>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（4）承担全县畜牧业、渔业和饲料、兽药调查研究，收集、预测并发布全县养殖业生产形势、生产资料供应、产品供求情况等经济信息。</w:t>
      </w:r>
    </w:p>
    <w:p>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（5）承担重大动物疫病（包括人畜共患病）防控，动物和动物产品检疫及动物血防相关事务工作，为动物诊疗机构及其从业人员管理提供服务保障。</w:t>
      </w:r>
    </w:p>
    <w:p>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（6）承担畜禽、水产、牧草、饲料品种资源调查等工作；组织实施相关品种的申报、登记、引进、繁育、推广工作；协助组织开展地方特色养殖品种的保护和开发利用。</w:t>
      </w:r>
    </w:p>
    <w:p>
      <w:pPr>
        <w:pStyle w:val="13"/>
        <w:spacing w:line="600" w:lineRule="exact"/>
        <w:ind w:firstLine="640"/>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（7）承担畜禽屠宰行业管理相关技术性、事务性工作。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Times New Roman" w:eastAsia="仿宋" w:cs="Times New Roman"/>
          <w:sz w:val="32"/>
          <w:szCs w:val="24"/>
          <w:lang w:val="en-US" w:eastAsia="zh-CN"/>
        </w:rPr>
      </w:pPr>
      <w:r>
        <w:rPr>
          <w:rFonts w:hint="eastAsia" w:ascii="仿宋" w:hAnsi="Times New Roman" w:eastAsia="仿宋" w:cs="Times New Roman"/>
          <w:sz w:val="32"/>
          <w:szCs w:val="24"/>
          <w:lang w:val="en-US" w:eastAsia="zh-CN"/>
        </w:rPr>
        <w:t>（8）承担县农业农村局交办的其他工作事项。</w:t>
      </w:r>
    </w:p>
    <w:p>
      <w:pPr>
        <w:snapToGrid w:val="0"/>
        <w:spacing w:line="520" w:lineRule="exact"/>
        <w:ind w:firstLine="640" w:firstLineChars="200"/>
        <w:outlineLvl w:val="1"/>
        <w:rPr>
          <w:rFonts w:ascii="仿宋_GB2312" w:hAnsi="仿宋" w:eastAsia="仿宋_GB2312"/>
          <w:sz w:val="32"/>
          <w:szCs w:val="32"/>
        </w:rPr>
      </w:pPr>
      <w:r>
        <w:rPr>
          <w:rFonts w:ascii="仿宋_GB2312" w:hAnsi="仿宋" w:eastAsia="仿宋_GB2312"/>
          <w:sz w:val="32"/>
          <w:szCs w:val="32"/>
        </w:rPr>
        <w:t>2．</w:t>
      </w:r>
      <w:r>
        <w:rPr>
          <w:rFonts w:ascii="仿宋_GB2312" w:eastAsia="仿宋_GB2312"/>
          <w:sz w:val="32"/>
        </w:rPr>
        <w:t>机构编制</w:t>
      </w:r>
    </w:p>
    <w:p>
      <w:pPr>
        <w:snapToGrid w:val="0"/>
        <w:spacing w:line="520" w:lineRule="exact"/>
        <w:ind w:firstLine="640" w:firstLineChars="200"/>
        <w:rPr>
          <w:rStyle w:val="14"/>
          <w:bCs/>
          <w:color w:val="000000"/>
          <w:u w:val="single" w:color="FFFFFF"/>
        </w:rPr>
      </w:pPr>
      <w:r>
        <w:rPr>
          <w:rStyle w:val="14"/>
          <w:rFonts w:hint="default"/>
          <w:bCs/>
          <w:color w:val="000000"/>
          <w:u w:val="single" w:color="FFFFFF"/>
        </w:rPr>
        <w:t>根据编</w:t>
      </w:r>
      <w:r>
        <w:rPr>
          <w:rStyle w:val="14"/>
          <w:rFonts w:hint="eastAsia" w:eastAsia="仿宋_GB2312"/>
          <w:bCs/>
          <w:color w:val="000000"/>
          <w:u w:val="single" w:color="FFFFFF"/>
          <w:lang w:eastAsia="zh-CN"/>
        </w:rPr>
        <w:t>办</w:t>
      </w:r>
      <w:r>
        <w:rPr>
          <w:rStyle w:val="14"/>
          <w:rFonts w:hint="default"/>
          <w:bCs/>
          <w:color w:val="000000"/>
          <w:u w:val="single" w:color="FFFFFF"/>
        </w:rPr>
        <w:t>核定，我</w:t>
      </w:r>
      <w:r>
        <w:rPr>
          <w:rStyle w:val="14"/>
          <w:rFonts w:hint="eastAsia" w:eastAsia="仿宋_GB2312"/>
          <w:bCs/>
          <w:color w:val="000000"/>
          <w:u w:val="single" w:color="FFFFFF"/>
          <w:lang w:eastAsia="zh-CN"/>
        </w:rPr>
        <w:t>中心</w:t>
      </w:r>
      <w:r>
        <w:rPr>
          <w:rStyle w:val="14"/>
          <w:rFonts w:hint="default"/>
          <w:bCs/>
          <w:color w:val="000000"/>
          <w:u w:val="single" w:color="FFFFFF"/>
        </w:rPr>
        <w:t>属于</w:t>
      </w:r>
      <w:r>
        <w:rPr>
          <w:rStyle w:val="14"/>
          <w:rFonts w:hint="eastAsia" w:eastAsia="仿宋_GB2312"/>
          <w:bCs/>
          <w:color w:val="000000"/>
          <w:u w:val="single" w:color="FFFFFF"/>
          <w:lang w:eastAsia="zh-CN"/>
        </w:rPr>
        <w:t>参公事业</w:t>
      </w:r>
      <w:r>
        <w:rPr>
          <w:rStyle w:val="14"/>
          <w:rFonts w:hint="default"/>
          <w:bCs/>
          <w:color w:val="000000"/>
          <w:u w:val="single" w:color="FFFFFF"/>
        </w:rPr>
        <w:t>单位，内设股级科室4 个；内设</w:t>
      </w:r>
      <w:r>
        <w:rPr>
          <w:rStyle w:val="14"/>
          <w:rFonts w:hint="eastAsia" w:eastAsia="仿宋_GB2312"/>
          <w:bCs/>
          <w:color w:val="000000"/>
          <w:u w:val="single" w:color="FFFFFF"/>
          <w:lang w:eastAsia="zh-CN"/>
        </w:rPr>
        <w:t>动物疫病预防控制中心</w:t>
      </w:r>
      <w:r>
        <w:rPr>
          <w:rStyle w:val="14"/>
          <w:rFonts w:hint="default"/>
          <w:bCs/>
          <w:color w:val="000000"/>
          <w:u w:val="single" w:color="FFFFFF"/>
        </w:rPr>
        <w:t>1个</w:t>
      </w:r>
      <w:r>
        <w:rPr>
          <w:rStyle w:val="14"/>
          <w:bCs/>
          <w:color w:val="000000"/>
          <w:u w:val="single" w:color="FFFFFF"/>
        </w:rPr>
        <w:t>。</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内设科室分别是：综合</w:t>
      </w:r>
      <w:r>
        <w:rPr>
          <w:rFonts w:hint="eastAsia" w:ascii="仿宋_GB2312" w:hAnsi="仿宋" w:eastAsia="仿宋_GB2312"/>
          <w:sz w:val="32"/>
          <w:szCs w:val="32"/>
          <w:lang w:eastAsia="zh-CN"/>
        </w:rPr>
        <w:t>办公室</w:t>
      </w:r>
      <w:r>
        <w:rPr>
          <w:rFonts w:ascii="仿宋_GB2312" w:hAnsi="仿宋" w:eastAsia="仿宋_GB2312"/>
          <w:sz w:val="32"/>
          <w:szCs w:val="32"/>
        </w:rPr>
        <w:t>、</w:t>
      </w:r>
      <w:r>
        <w:rPr>
          <w:rFonts w:hint="eastAsia" w:ascii="仿宋_GB2312" w:hAnsi="仿宋" w:eastAsia="仿宋_GB2312"/>
          <w:sz w:val="32"/>
          <w:szCs w:val="32"/>
          <w:lang w:eastAsia="zh-CN"/>
        </w:rPr>
        <w:t>畜牧发展</w:t>
      </w:r>
      <w:r>
        <w:rPr>
          <w:rFonts w:ascii="仿宋_GB2312" w:hAnsi="仿宋" w:eastAsia="仿宋_GB2312"/>
          <w:sz w:val="32"/>
          <w:szCs w:val="32"/>
        </w:rPr>
        <w:t>股、</w:t>
      </w:r>
      <w:r>
        <w:rPr>
          <w:rFonts w:hint="eastAsia" w:ascii="仿宋_GB2312" w:hAnsi="仿宋" w:eastAsia="仿宋_GB2312"/>
          <w:sz w:val="32"/>
          <w:szCs w:val="32"/>
          <w:lang w:eastAsia="zh-CN"/>
        </w:rPr>
        <w:t>渔业发展与资源保护</w:t>
      </w:r>
      <w:r>
        <w:rPr>
          <w:rFonts w:ascii="仿宋_GB2312" w:hAnsi="仿宋" w:eastAsia="仿宋_GB2312"/>
          <w:sz w:val="32"/>
          <w:szCs w:val="32"/>
        </w:rPr>
        <w:t>股、</w:t>
      </w:r>
      <w:r>
        <w:rPr>
          <w:rFonts w:hint="eastAsia" w:ascii="仿宋_GB2312" w:hAnsi="仿宋" w:eastAsia="仿宋_GB2312"/>
          <w:sz w:val="32"/>
          <w:szCs w:val="32"/>
          <w:lang w:eastAsia="zh-CN"/>
        </w:rPr>
        <w:t>兽医事务</w:t>
      </w:r>
      <w:r>
        <w:rPr>
          <w:rFonts w:ascii="仿宋_GB2312" w:hAnsi="仿宋" w:eastAsia="仿宋_GB2312"/>
          <w:sz w:val="32"/>
          <w:szCs w:val="32"/>
        </w:rPr>
        <w:t>股、</w:t>
      </w:r>
      <w:r>
        <w:rPr>
          <w:rFonts w:hint="eastAsia" w:ascii="仿宋_GB2312" w:hAnsi="仿宋" w:eastAsia="仿宋_GB2312"/>
          <w:sz w:val="32"/>
          <w:szCs w:val="32"/>
          <w:lang w:eastAsia="zh-CN"/>
        </w:rPr>
        <w:t>动物</w:t>
      </w:r>
      <w:r>
        <w:rPr>
          <w:rStyle w:val="14"/>
          <w:rFonts w:hint="eastAsia" w:eastAsia="仿宋_GB2312"/>
          <w:bCs/>
          <w:color w:val="000000"/>
          <w:u w:val="single" w:color="FFFFFF"/>
          <w:lang w:eastAsia="zh-CN"/>
        </w:rPr>
        <w:t>疫病预防控制中心</w:t>
      </w:r>
      <w:r>
        <w:rPr>
          <w:rFonts w:ascii="仿宋_GB2312" w:hAnsi="仿宋" w:eastAsia="仿宋_GB2312"/>
          <w:sz w:val="32"/>
          <w:szCs w:val="32"/>
        </w:rPr>
        <w:t>。</w:t>
      </w:r>
    </w:p>
    <w:p>
      <w:pPr>
        <w:snapToGrid w:val="0"/>
        <w:spacing w:line="520" w:lineRule="exact"/>
        <w:ind w:firstLine="640" w:firstLineChars="200"/>
        <w:rPr>
          <w:rFonts w:ascii="仿宋_GB2312" w:hAnsi="仿宋" w:eastAsia="仿宋_GB2312"/>
          <w:sz w:val="32"/>
          <w:szCs w:val="32"/>
        </w:rPr>
      </w:pPr>
      <w:r>
        <w:rPr>
          <w:rFonts w:ascii="仿宋_GB2312" w:eastAsia="仿宋_GB2312"/>
          <w:sz w:val="32"/>
        </w:rPr>
        <w:t>人员构成</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双牌县</w:t>
      </w:r>
      <w:r>
        <w:rPr>
          <w:rFonts w:hint="eastAsia" w:ascii="仿宋_GB2312" w:hAnsi="仿宋" w:eastAsia="仿宋_GB2312"/>
          <w:sz w:val="32"/>
          <w:szCs w:val="32"/>
          <w:lang w:eastAsia="zh-CN"/>
        </w:rPr>
        <w:t>畜牧水产事务中心</w:t>
      </w:r>
      <w:r>
        <w:rPr>
          <w:rFonts w:ascii="仿宋_GB2312" w:hAnsi="仿宋" w:eastAsia="仿宋_GB2312"/>
          <w:sz w:val="32"/>
          <w:szCs w:val="32"/>
        </w:rPr>
        <w:t>202</w:t>
      </w:r>
      <w:r>
        <w:rPr>
          <w:rFonts w:hint="eastAsia" w:ascii="仿宋_GB2312" w:hAnsi="仿宋" w:eastAsia="仿宋_GB2312"/>
          <w:sz w:val="32"/>
          <w:szCs w:val="32"/>
          <w:lang w:val="en-US" w:eastAsia="zh-CN"/>
        </w:rPr>
        <w:t>4</w:t>
      </w:r>
      <w:r>
        <w:rPr>
          <w:rFonts w:ascii="仿宋_GB2312" w:hAnsi="仿宋" w:eastAsia="仿宋_GB2312"/>
          <w:sz w:val="32"/>
          <w:szCs w:val="32"/>
        </w:rPr>
        <w:t>年实有在职人员</w:t>
      </w:r>
      <w:r>
        <w:rPr>
          <w:rFonts w:hint="eastAsia" w:ascii="仿宋_GB2312" w:hAnsi="仿宋" w:eastAsia="仿宋_GB2312"/>
          <w:sz w:val="32"/>
          <w:szCs w:val="32"/>
          <w:lang w:val="en-US" w:eastAsia="zh-CN"/>
        </w:rPr>
        <w:t>21</w:t>
      </w:r>
      <w:r>
        <w:rPr>
          <w:rFonts w:ascii="仿宋_GB2312" w:hAnsi="仿宋" w:eastAsia="仿宋_GB2312"/>
          <w:sz w:val="32"/>
          <w:szCs w:val="32"/>
        </w:rPr>
        <w:t>人，（公务员</w:t>
      </w:r>
      <w:r>
        <w:rPr>
          <w:rFonts w:hint="eastAsia" w:ascii="仿宋_GB2312" w:hAnsi="仿宋" w:eastAsia="仿宋_GB2312"/>
          <w:sz w:val="32"/>
          <w:szCs w:val="32"/>
          <w:lang w:val="en-US" w:eastAsia="zh-CN"/>
        </w:rPr>
        <w:t>7</w:t>
      </w:r>
      <w:r>
        <w:rPr>
          <w:rFonts w:ascii="仿宋_GB2312" w:hAnsi="仿宋" w:eastAsia="仿宋_GB2312"/>
          <w:sz w:val="32"/>
          <w:szCs w:val="32"/>
        </w:rPr>
        <w:t>人；事业人员</w:t>
      </w:r>
      <w:r>
        <w:rPr>
          <w:rFonts w:hint="eastAsia" w:ascii="仿宋_GB2312" w:hAnsi="仿宋" w:eastAsia="仿宋_GB2312"/>
          <w:sz w:val="32"/>
          <w:szCs w:val="32"/>
          <w:lang w:val="en-US" w:eastAsia="zh-CN"/>
        </w:rPr>
        <w:t>14</w:t>
      </w:r>
      <w:r>
        <w:rPr>
          <w:rFonts w:ascii="仿宋_GB2312" w:hAnsi="仿宋" w:eastAsia="仿宋_GB2312"/>
          <w:sz w:val="32"/>
          <w:szCs w:val="32"/>
        </w:rPr>
        <w:t>人）。</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1"/>
        <w:rPr>
          <w:rStyle w:val="14"/>
          <w:rFonts w:hint="eastAsia" w:ascii="仿宋_GB2312" w:hAnsi="仿宋_GB2312" w:eastAsia="仿宋_GB2312" w:cs="仿宋_GB2312"/>
          <w:bCs w:val="0"/>
          <w:sz w:val="32"/>
          <w:szCs w:val="32"/>
        </w:rPr>
      </w:pPr>
      <w:r>
        <w:rPr>
          <w:rStyle w:val="14"/>
          <w:rFonts w:hint="eastAsia" w:ascii="仿宋_GB2312" w:hAnsi="仿宋_GB2312" w:eastAsia="仿宋_GB2312" w:cs="仿宋_GB2312"/>
          <w:bCs w:val="0"/>
          <w:sz w:val="32"/>
          <w:szCs w:val="32"/>
        </w:rPr>
        <w:t>（二）部门年度项目支出绩效目标</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1.项目支出绩效目标。</w:t>
      </w:r>
    </w:p>
    <w:p>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保障本单位的基本运转，不断提升本单位服务和业务水平。</w:t>
      </w:r>
    </w:p>
    <w:p>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Style w:val="14"/>
          <w:rFonts w:hint="eastAsia" w:ascii="黑体" w:hAnsi="黑体" w:eastAsia="黑体" w:cs="黑体"/>
          <w:bCs w:val="0"/>
          <w:color w:val="000000"/>
          <w:kern w:val="2"/>
          <w:u w:val="single" w:color="FFFFFF"/>
          <w:lang w:val="en-US" w:eastAsia="zh-CN" w:bidi="ar-SA"/>
        </w:rPr>
      </w:pPr>
      <w:r>
        <w:rPr>
          <w:rStyle w:val="14"/>
          <w:rFonts w:hint="eastAsia" w:ascii="黑体" w:hAnsi="黑体" w:eastAsia="黑体" w:cs="黑体"/>
          <w:bCs w:val="0"/>
          <w:color w:val="000000"/>
          <w:kern w:val="2"/>
          <w:u w:val="single" w:color="FFFFFF"/>
          <w:lang w:val="en-US" w:eastAsia="zh-CN" w:bidi="ar-SA"/>
        </w:rPr>
        <w:t>二、一般公共预算支出情况</w:t>
      </w:r>
    </w:p>
    <w:p>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（一）基本支出情况</w:t>
      </w:r>
    </w:p>
    <w:p>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358.4</w:t>
      </w:r>
      <w:r>
        <w:rPr>
          <w:rFonts w:hint="eastAsia" w:ascii="仿宋_GB2312" w:hAnsi="仿宋_GB2312" w:eastAsia="仿宋_GB2312" w:cs="仿宋_GB2312"/>
          <w:sz w:val="32"/>
          <w:szCs w:val="32"/>
        </w:rPr>
        <w:t>万元，占总支出的比重为</w:t>
      </w:r>
      <w:r>
        <w:rPr>
          <w:rFonts w:hint="eastAsia" w:ascii="仿宋_GB2312" w:hAnsi="仿宋_GB2312" w:eastAsia="仿宋_GB2312" w:cs="仿宋_GB2312"/>
          <w:sz w:val="32"/>
          <w:szCs w:val="32"/>
          <w:lang w:val="en-US" w:eastAsia="zh-CN"/>
        </w:rPr>
        <w:t>55.74</w:t>
      </w:r>
      <w:r>
        <w:rPr>
          <w:rFonts w:hint="eastAsia" w:ascii="仿宋_GB2312" w:hAnsi="仿宋_GB2312" w:eastAsia="仿宋_GB2312" w:cs="仿宋_GB2312"/>
          <w:sz w:val="32"/>
          <w:szCs w:val="32"/>
        </w:rPr>
        <w:t>%。一般公共预算财政拨款基本支出中人员经费</w:t>
      </w:r>
      <w:r>
        <w:rPr>
          <w:rFonts w:hint="eastAsia" w:ascii="仿宋_GB2312" w:hAnsi="仿宋_GB2312" w:eastAsia="仿宋_GB2312" w:cs="仿宋_GB2312"/>
          <w:sz w:val="32"/>
          <w:szCs w:val="32"/>
          <w:lang w:val="en-US" w:eastAsia="zh-CN"/>
        </w:rPr>
        <w:t>332.4</w:t>
      </w:r>
      <w:r>
        <w:rPr>
          <w:rFonts w:hint="eastAsia" w:ascii="仿宋_GB2312" w:hAnsi="仿宋_GB2312" w:eastAsia="仿宋_GB2312" w:cs="仿宋_GB2312"/>
          <w:sz w:val="32"/>
          <w:szCs w:val="32"/>
        </w:rPr>
        <w:t>万元，主要包括：基本工资、津贴补贴、奖金、社会保障缴费、其他工资福利支出、离休费、退休费、抚恤金、奖励金、住房公积金、其他对个人和家庭的补助支出；一般公共预算财政拨款基本支出中公用经费</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万元，主要包括：办公费、印刷费、邮电费、差旅费、维修（护）费、会议费、培训费、公务接待费、劳务费、工会经费、福利费、公务用车运行维护费、其他交通费用、其他商品和服务支出。</w:t>
      </w:r>
    </w:p>
    <w:p>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（二）项目支出情况</w:t>
      </w:r>
    </w:p>
    <w:p>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284.53</w:t>
      </w:r>
      <w:r>
        <w:rPr>
          <w:rFonts w:hint="eastAsia" w:ascii="仿宋_GB2312" w:hAnsi="仿宋_GB2312" w:eastAsia="仿宋_GB2312" w:cs="仿宋_GB2312"/>
          <w:sz w:val="32"/>
          <w:szCs w:val="32"/>
        </w:rPr>
        <w:t>万元，占总支出的比重为</w:t>
      </w:r>
      <w:r>
        <w:rPr>
          <w:rFonts w:hint="eastAsia" w:ascii="仿宋_GB2312" w:hAnsi="仿宋_GB2312" w:eastAsia="仿宋_GB2312" w:cs="仿宋_GB2312"/>
          <w:sz w:val="32"/>
          <w:szCs w:val="32"/>
          <w:lang w:val="en-US" w:eastAsia="zh-CN"/>
        </w:rPr>
        <w:t>44.26</w:t>
      </w:r>
      <w:r>
        <w:rPr>
          <w:rFonts w:hint="eastAsia" w:ascii="仿宋_GB2312" w:hAnsi="仿宋_GB2312" w:eastAsia="仿宋_GB2312" w:cs="仿宋_GB2312"/>
          <w:sz w:val="32"/>
          <w:szCs w:val="32"/>
        </w:rPr>
        <w:t>%，是指单位为完成特定行政工作任务或事业发展目标而发生的支出，其中：1、</w:t>
      </w:r>
      <w:r>
        <w:rPr>
          <w:rFonts w:hint="eastAsia" w:ascii="仿宋_GB2312" w:hAnsi="仿宋_GB2312" w:eastAsia="仿宋_GB2312" w:cs="仿宋_GB2312"/>
          <w:sz w:val="32"/>
          <w:szCs w:val="32"/>
          <w:lang w:eastAsia="zh-CN"/>
        </w:rPr>
        <w:t>行政运行</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  2、</w:t>
      </w:r>
      <w:r>
        <w:rPr>
          <w:rFonts w:hint="eastAsia" w:ascii="仿宋_GB2312" w:hAnsi="仿宋_GB2312" w:eastAsia="仿宋_GB2312" w:cs="仿宋_GB2312"/>
          <w:sz w:val="32"/>
          <w:szCs w:val="32"/>
          <w:lang w:eastAsia="zh-CN"/>
        </w:rPr>
        <w:t>一般行政管理事务支出</w:t>
      </w:r>
      <w:r>
        <w:rPr>
          <w:rFonts w:hint="eastAsia" w:ascii="仿宋_GB2312" w:hAnsi="仿宋_GB2312" w:eastAsia="仿宋_GB2312" w:cs="仿宋_GB2312"/>
          <w:sz w:val="32"/>
          <w:szCs w:val="32"/>
          <w:lang w:val="en-US" w:eastAsia="zh-CN"/>
        </w:rPr>
        <w:t>128.53</w:t>
      </w:r>
      <w:r>
        <w:rPr>
          <w:rFonts w:hint="eastAsia" w:ascii="仿宋_GB2312" w:hAnsi="仿宋_GB2312" w:eastAsia="仿宋_GB2312" w:cs="仿宋_GB2312"/>
          <w:sz w:val="32"/>
          <w:szCs w:val="32"/>
        </w:rPr>
        <w:t>万元,  3、</w:t>
      </w:r>
      <w:r>
        <w:rPr>
          <w:rFonts w:hint="eastAsia" w:ascii="仿宋_GB2312" w:hAnsi="仿宋_GB2312" w:eastAsia="仿宋_GB2312" w:cs="仿宋_GB2312"/>
          <w:sz w:val="32"/>
          <w:szCs w:val="32"/>
          <w:lang w:eastAsia="zh-CN"/>
        </w:rPr>
        <w:t>病虫害控制等</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万元。</w:t>
      </w:r>
    </w:p>
    <w:p>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Style w:val="14"/>
          <w:rFonts w:hint="eastAsia" w:ascii="黑体" w:hAnsi="黑体" w:eastAsia="黑体" w:cs="黑体"/>
          <w:bCs w:val="0"/>
          <w:color w:val="000000"/>
          <w:kern w:val="2"/>
          <w:u w:val="single" w:color="FFFFFF"/>
          <w:lang w:val="en-US" w:eastAsia="zh-CN" w:bidi="ar-SA"/>
        </w:rPr>
      </w:pPr>
      <w:r>
        <w:rPr>
          <w:rStyle w:val="14"/>
          <w:rFonts w:hint="eastAsia" w:ascii="黑体" w:hAnsi="黑体" w:eastAsia="黑体" w:cs="黑体"/>
          <w:bCs w:val="0"/>
          <w:color w:val="000000"/>
          <w:kern w:val="2"/>
          <w:u w:val="single" w:color="FFFFFF"/>
          <w:lang w:val="en-US" w:eastAsia="zh-CN" w:bidi="ar-SA"/>
        </w:rPr>
        <w:t>三、政府性基金预算支出情况。</w:t>
      </w:r>
    </w:p>
    <w:p>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我单位无政府性基金预算支出情况</w:t>
      </w:r>
    </w:p>
    <w:p>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Style w:val="14"/>
          <w:rFonts w:hint="eastAsia" w:ascii="黑体" w:hAnsi="黑体" w:eastAsia="黑体" w:cs="黑体"/>
          <w:bCs w:val="0"/>
          <w:color w:val="000000"/>
          <w:kern w:val="2"/>
          <w:u w:val="single" w:color="FFFFFF"/>
          <w:lang w:val="en-US" w:eastAsia="zh-CN" w:bidi="ar-SA"/>
        </w:rPr>
      </w:pPr>
      <w:r>
        <w:rPr>
          <w:rStyle w:val="14"/>
          <w:rFonts w:hint="eastAsia" w:ascii="黑体" w:hAnsi="黑体" w:eastAsia="黑体" w:cs="黑体"/>
          <w:bCs w:val="0"/>
          <w:color w:val="000000"/>
          <w:kern w:val="2"/>
          <w:u w:val="single" w:color="FFFFFF"/>
          <w:lang w:val="en-US" w:eastAsia="zh-CN" w:bidi="ar-SA"/>
        </w:rPr>
        <w:t>四、国有资本经营预算支出情况。</w:t>
      </w:r>
    </w:p>
    <w:p>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我单位无国有资本经营预算支出情况</w:t>
      </w:r>
    </w:p>
    <w:p>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Style w:val="14"/>
          <w:rFonts w:hint="eastAsia" w:ascii="黑体" w:hAnsi="黑体" w:eastAsia="黑体" w:cs="黑体"/>
          <w:bCs w:val="0"/>
          <w:color w:val="000000"/>
          <w:kern w:val="2"/>
          <w:u w:val="single" w:color="FFFFFF"/>
          <w:lang w:val="en-US" w:eastAsia="zh-CN" w:bidi="ar-SA"/>
        </w:rPr>
      </w:pPr>
      <w:r>
        <w:rPr>
          <w:rStyle w:val="14"/>
          <w:rFonts w:hint="eastAsia" w:ascii="黑体" w:hAnsi="黑体" w:eastAsia="黑体" w:cs="黑体"/>
          <w:bCs w:val="0"/>
          <w:color w:val="000000"/>
          <w:kern w:val="2"/>
          <w:u w:val="single" w:color="FFFFFF"/>
          <w:lang w:val="en-US" w:eastAsia="zh-CN" w:bidi="ar-SA"/>
        </w:rPr>
        <w:t>五、社会保险基金预算支出情况。</w:t>
      </w:r>
    </w:p>
    <w:p>
      <w:pPr>
        <w:pStyle w:val="1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我单位无社会保险基金预算支出情况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六、部门整体支出绩效情况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根据《部门项目支出绩效评价指标》评分，得分98分（详见附件5：2023年度项目支出绩效自评表）。主要绩效如下：</w:t>
      </w:r>
    </w:p>
    <w:p>
      <w:pPr>
        <w:pStyle w:val="2"/>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40" w:lineRule="exact"/>
        <w:ind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今年以来，县畜牧水产事务中心坚持以项目争取为抓手，抢抓项目促发展。积极向省厅争取肉牛肉羊增量提质和牛羊粮改饲项目，其中粮改饲项目已经在双牌实施，争取项目资金160万元，对全县23家牛羊养殖户实施主体完成2.96万吨青贮优质饲草。通过我中心及相关部门的共同努力下，项目建设已经顺利完成。按照省下达优质牧草种植面积1.13万亩，收贮优质饲草任务2.9万吨任务。我县已完成优质牧草种植面积1.17万亩，其中青贮玉米0.3万亩、其他饲草料0.87万亩；完成收贮优质饲草2.96万吨，其中青贮玉米0.83万吨、其他饲草料2.13万吨。 </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outlineLvl w:val="0"/>
        <w:rPr>
          <w:rFonts w:hint="eastAsia" w:ascii="黑体" w:hAnsi="黑体" w:eastAsia="黑体" w:cs="黑体"/>
          <w:sz w:val="32"/>
          <w:szCs w:val="32"/>
        </w:rPr>
      </w:pPr>
      <w:r>
        <w:rPr>
          <w:rFonts w:hint="eastAsia" w:cs="黑体"/>
          <w:sz w:val="32"/>
          <w:szCs w:val="32"/>
          <w:lang w:eastAsia="zh-CN"/>
        </w:rPr>
        <w:t>一、</w:t>
      </w:r>
      <w:r>
        <w:rPr>
          <w:rFonts w:hint="eastAsia" w:ascii="黑体" w:hAnsi="黑体" w:eastAsia="黑体" w:cs="黑体"/>
          <w:sz w:val="32"/>
          <w:szCs w:val="32"/>
        </w:rPr>
        <w:t>202</w:t>
      </w:r>
      <w:r>
        <w:rPr>
          <w:rFonts w:hint="eastAsia" w:ascii="黑体" w:hAnsi="黑体" w:eastAsia="黑体" w:cs="黑体"/>
          <w:sz w:val="32"/>
          <w:szCs w:val="32"/>
          <w:lang w:val="en-US" w:eastAsia="zh-CN"/>
        </w:rPr>
        <w:t>4</w:t>
      </w:r>
      <w:r>
        <w:rPr>
          <w:rFonts w:hint="eastAsia" w:ascii="黑体" w:hAnsi="黑体" w:eastAsia="黑体" w:cs="黑体"/>
          <w:sz w:val="32"/>
          <w:szCs w:val="32"/>
        </w:rPr>
        <w:t>年主要工作情况</w:t>
      </w:r>
    </w:p>
    <w:p>
      <w:pPr>
        <w:keepNext w:val="0"/>
        <w:keepLines w:val="0"/>
        <w:pageBreakBefore w:val="0"/>
        <w:widowControl w:val="0"/>
        <w:numPr>
          <w:ilvl w:val="0"/>
          <w:numId w:val="1"/>
        </w:numPr>
        <w:kinsoku/>
        <w:overflowPunct/>
        <w:topLinePunct w:val="0"/>
        <w:autoSpaceDN/>
        <w:bidi w:val="0"/>
        <w:adjustRightInd/>
        <w:snapToGrid/>
        <w:spacing w:line="54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方正楷体_GBK" w:hAnsi="方正楷体_GBK" w:eastAsia="方正楷体_GBK" w:cs="方正楷体_GBK"/>
          <w:b w:val="0"/>
          <w:bCs w:val="0"/>
          <w:sz w:val="32"/>
          <w:szCs w:val="32"/>
          <w:lang w:val="en-US" w:eastAsia="zh-CN"/>
        </w:rPr>
        <w:t>生产指标完成情况。</w:t>
      </w:r>
      <w:r>
        <w:rPr>
          <w:rFonts w:hint="eastAsia" w:ascii="仿宋_GB2312" w:hAnsi="Times New Roman" w:eastAsia="仿宋_GB2312" w:cs="仿宋_GB2312"/>
          <w:kern w:val="2"/>
          <w:sz w:val="32"/>
          <w:szCs w:val="32"/>
          <w:lang w:val="en-US" w:eastAsia="zh-CN" w:bidi="ar"/>
        </w:rPr>
        <w:t>一是全面完成了2024年省下达的人工增殖放流鱼种鱼苗120万尾，其中“四大家鱼”110万尾，光倒刺耙10万尾；二是各类养殖平稳发展。截止2024年11月底，全县预计完成生猪出栏30.43万头、存栏27万头，能繁母猪存栏1.87万头；山羊存栏20.07万只，出栏30.01万只；牛存栏7.63万头，出栏3.98万头；家禽存笼195.22万羽，出笼253.64万羽；水产品产量8516吨。</w:t>
      </w:r>
    </w:p>
    <w:p>
      <w:pPr>
        <w:keepNext w:val="0"/>
        <w:keepLines w:val="0"/>
        <w:pageBreakBefore w:val="0"/>
        <w:widowControl w:val="0"/>
        <w:numPr>
          <w:ilvl w:val="0"/>
          <w:numId w:val="1"/>
        </w:numPr>
        <w:kinsoku/>
        <w:overflowPunct/>
        <w:topLinePunct w:val="0"/>
        <w:autoSpaceDN/>
        <w:bidi w:val="0"/>
        <w:adjustRightInd/>
        <w:snapToGrid/>
        <w:spacing w:line="54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方正楷体_GBK" w:hAnsi="方正楷体_GBK" w:eastAsia="方正楷体_GBK" w:cs="方正楷体_GBK"/>
          <w:b w:val="0"/>
          <w:bCs w:val="0"/>
          <w:sz w:val="32"/>
          <w:szCs w:val="32"/>
          <w:lang w:val="en-US" w:eastAsia="zh-CN"/>
        </w:rPr>
        <w:t>筑牢动物疫病防控。</w:t>
      </w:r>
      <w:r>
        <w:rPr>
          <w:rFonts w:hint="eastAsia" w:ascii="仿宋_GB2312" w:hAnsi="Times New Roman" w:eastAsia="仿宋_GB2312" w:cs="仿宋_GB2312"/>
          <w:kern w:val="2"/>
          <w:sz w:val="32"/>
          <w:szCs w:val="32"/>
          <w:lang w:val="en-US" w:eastAsia="zh-CN" w:bidi="ar"/>
        </w:rPr>
        <w:t>一是全面落实春秋季重大动物疫病强制免疫工作，按照“政府部门保密度，业务部门保质量”的总要求，全县共免疫猪口蹄疫苗32.5万头，牛口蹄疫免疫注射5.47万头，羊口蹄疫苗13.29万只，禽流感疫328.9万羽。畜禽强制免疫应免密度达到95%以上，牲畜标识佩挂率达到100%；免疫抗体合格率达到75%以上，构筑有效免疫屏障。二是扎实做好疫情监测流调工作。按照年度计划和流调方案及时开展常规监测和专项监测。全年对牲畜口蹄疫、高致病性禽流感、非洲猪瘟、小反刍兽疫、牛羊布病等动物疫病监测共检测各类样品4542份，合格4246份，免疫抗体合格率为93.5%，动物疫情总体平稳。三是做好病死动物无害化处理工作。全年养殖环节病死生猪无害化处理共3494头。四是加强动物卫生监督。共组织开展动物卫生监督检查180人次，对76家畜禽规模养殖场、县生猪定点屠宰场进行动物卫生日常监督检查，指导67家养殖场做好免疫工作。完善养殖档案，配合县农业农村局、县自然资源局、市生态环境局双牌分局开展了全县养殖业环境污染排查摸底工作，指导17家养殖场（户）完成粪污处理设施改造。</w:t>
      </w:r>
    </w:p>
    <w:p>
      <w:pPr>
        <w:keepNext w:val="0"/>
        <w:keepLines w:val="0"/>
        <w:pageBreakBefore w:val="0"/>
        <w:widowControl w:val="0"/>
        <w:numPr>
          <w:ilvl w:val="0"/>
          <w:numId w:val="1"/>
        </w:numPr>
        <w:kinsoku/>
        <w:overflowPunct/>
        <w:topLinePunct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val="0"/>
          <w:bCs w:val="0"/>
          <w:sz w:val="32"/>
          <w:szCs w:val="32"/>
          <w:lang w:val="en-US" w:eastAsia="zh-CN"/>
        </w:rPr>
        <w:t>加强动物检疫工作。</w:t>
      </w:r>
      <w:r>
        <w:rPr>
          <w:rFonts w:hint="eastAsia" w:ascii="仿宋_GB2312" w:hAnsi="Times New Roman" w:eastAsia="仿宋_GB2312" w:cs="仿宋_GB2312"/>
          <w:kern w:val="2"/>
          <w:sz w:val="32"/>
          <w:szCs w:val="32"/>
          <w:lang w:val="en-US" w:eastAsia="zh-CN" w:bidi="ar"/>
        </w:rPr>
        <w:t>一是动物产地检疫落实到场到点实地检查。全年生猪产地检疫22.4万头，检疫率达70%以上；屠宰检疫严格按照“入场查验、宰前巡查、检疫申报、同步检疫”等流程实施，检疫生猪11.14万头，集中屠宰检疫率达到40%以上。二是强化生猪调运监管。积极开展生猪调运监管巡查，严格要求贩运主体进行车辆备案和贩运主体备案，全县共备案车辆88辆，贩运主体备案429个。三是实行出省生猪和入湘生猪点对点调运备案。我县共点对点备案养殖场7个。</w:t>
      </w:r>
    </w:p>
    <w:p>
      <w:pPr>
        <w:spacing w:line="580" w:lineRule="exact"/>
        <w:ind w:firstLine="640" w:firstLineChars="200"/>
        <w:jc w:val="left"/>
        <w:rPr>
          <w:rFonts w:hint="eastAsia" w:ascii="仿宋_GB2312" w:eastAsia="仿宋_GB2312"/>
          <w:sz w:val="32"/>
          <w:szCs w:val="32"/>
        </w:rPr>
      </w:pPr>
      <w:r>
        <w:rPr>
          <w:rFonts w:hint="eastAsia" w:ascii="方正楷体_GBK" w:hAnsi="方正楷体_GBK" w:eastAsia="方正楷体_GBK" w:cs="方正楷体_GBK"/>
          <w:b w:val="0"/>
          <w:bCs w:val="0"/>
          <w:sz w:val="32"/>
          <w:szCs w:val="32"/>
          <w:lang w:val="en-US" w:eastAsia="zh-CN"/>
        </w:rPr>
        <w:t>加强渔业资源养护。</w:t>
      </w:r>
      <w:r>
        <w:rPr>
          <w:rFonts w:hint="eastAsia" w:ascii="仿宋_GB2312" w:hAnsi="仿宋_GB2312" w:eastAsia="仿宋_GB2312" w:cs="仿宋_GB2312"/>
          <w:sz w:val="32"/>
          <w:szCs w:val="32"/>
        </w:rPr>
        <w:t>组织开展202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年湘江源（双牌段）水生生物增殖放流活动，共投放“四大家鱼”苗种</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万尾、光倒刺鲃10万尾。</w:t>
      </w:r>
      <w:r>
        <w:rPr>
          <w:rFonts w:hint="eastAsia" w:ascii="仿宋_GB2312" w:hAnsi="仿宋_GB2312" w:eastAsia="仿宋_GB2312" w:cs="仿宋_GB2312"/>
          <w:sz w:val="32"/>
          <w:szCs w:val="32"/>
          <w:lang w:val="en-US" w:eastAsia="zh-CN"/>
        </w:rPr>
        <w:t>宣传方式多元，树立了20块永久性禁捕宣传牌，制作2块大型发光字宣传标语悬挂在县城内的潇水河大桥两侧，在禁钓区竖立永久性禁钓标识牌60多块，实现了禁捕水域警示全覆盖。 2024年4月下旬和10月下旬，协助省水生生物资源监测中心湘江资江监测站科研团队在湘江潇水双牌段光倒刺鲃拟尖头鲌国家级水产种质资源保护区，开展了两期水生生物监测调查。2024年度我县水生生物资源监测的总体情况是共调查到鱼类73个品种，隶属于5目12科46属，在全省位居前列。具有重要保护鱼类有叉尾斗鱼、大鳍鳠，采集到重要鱼类克氏光唇、中华纹胸鮡、越南隐鳍鲇。</w:t>
      </w:r>
      <w:r>
        <w:rPr>
          <w:rFonts w:hint="eastAsia" w:ascii="仿宋_GB2312" w:hAnsi="仿宋_GB2312" w:eastAsia="仿宋_GB2312" w:cs="仿宋_GB2312"/>
          <w:color w:val="000000"/>
          <w:sz w:val="32"/>
          <w:szCs w:val="32"/>
          <w:lang w:val="en-US" w:eastAsia="zh-CN"/>
        </w:rPr>
        <w:t>双牌站</w:t>
      </w:r>
      <w:r>
        <w:rPr>
          <w:rFonts w:hint="eastAsia" w:ascii="仿宋_GB2312" w:hAnsi="仿宋_GB2312" w:eastAsia="仿宋_GB2312" w:cs="仿宋_GB2312"/>
          <w:sz w:val="32"/>
          <w:szCs w:val="32"/>
          <w:lang w:val="en-US" w:eastAsia="zh-CN"/>
        </w:rPr>
        <w:t>在本轮调查中没出现外来入侵鱼类。</w:t>
      </w:r>
    </w:p>
    <w:p>
      <w:pPr>
        <w:keepNext w:val="0"/>
        <w:keepLines w:val="0"/>
        <w:pageBreakBefore w:val="0"/>
        <w:widowControl w:val="0"/>
        <w:numPr>
          <w:ilvl w:val="0"/>
          <w:numId w:val="0"/>
        </w:numPr>
        <w:kinsoku/>
        <w:overflowPunct/>
        <w:topLinePunct w:val="0"/>
        <w:autoSpaceDN/>
        <w:bidi w:val="0"/>
        <w:adjustRightInd/>
        <w:snapToGrid/>
        <w:spacing w:line="540" w:lineRule="exact"/>
        <w:ind w:firstLine="640" w:firstLineChars="200"/>
        <w:textAlignment w:val="auto"/>
        <w:outlineLvl w:val="0"/>
        <w:rPr>
          <w:rFonts w:hint="eastAsia" w:ascii="黑体" w:hAnsi="黑体" w:eastAsia="黑体" w:cs="黑体"/>
          <w:sz w:val="32"/>
          <w:szCs w:val="32"/>
        </w:rPr>
      </w:pPr>
      <w:r>
        <w:rPr>
          <w:rFonts w:hint="eastAsia" w:cs="黑体"/>
          <w:sz w:val="32"/>
          <w:szCs w:val="32"/>
          <w:lang w:eastAsia="zh-CN"/>
        </w:rPr>
        <w:t>七</w:t>
      </w:r>
      <w:r>
        <w:rPr>
          <w:rFonts w:hint="eastAsia" w:ascii="黑体" w:hAnsi="黑体" w:eastAsia="黑体" w:cs="黑体"/>
          <w:sz w:val="32"/>
          <w:szCs w:val="32"/>
        </w:rPr>
        <w:t>、存在的问题和困难</w:t>
      </w:r>
    </w:p>
    <w:p>
      <w:pPr>
        <w:keepNext w:val="0"/>
        <w:keepLines w:val="0"/>
        <w:pageBreakBefore w:val="0"/>
        <w:widowControl w:val="0"/>
        <w:kinsoku/>
        <w:overflowPunct/>
        <w:topLinePunct w:val="0"/>
        <w:autoSpaceDN/>
        <w:bidi w:val="0"/>
        <w:adjustRightInd/>
        <w:snapToGrid/>
        <w:spacing w:line="54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方正楷体_GBK" w:hAnsi="方正楷体_GBK" w:eastAsia="方正楷体_GBK" w:cs="方正楷体_GBK"/>
          <w:b w:val="0"/>
          <w:bCs w:val="0"/>
          <w:sz w:val="32"/>
          <w:szCs w:val="32"/>
          <w:lang w:val="en-US" w:eastAsia="zh-CN"/>
        </w:rPr>
        <w:t>（一）畜禽产业难发展。</w:t>
      </w:r>
      <w:r>
        <w:rPr>
          <w:rFonts w:hint="eastAsia" w:ascii="仿宋_GB2312" w:hAnsi="Times New Roman" w:eastAsia="仿宋_GB2312" w:cs="仿宋_GB2312"/>
          <w:kern w:val="2"/>
          <w:sz w:val="32"/>
          <w:szCs w:val="32"/>
          <w:lang w:val="en-US" w:eastAsia="zh-CN" w:bidi="ar"/>
        </w:rPr>
        <w:t>一是多因素制约发展。猪、牛价不稳定、部分乡镇不重视、养殖户不积极等因素制约畜禽生产发展。二是体制机制不健全。机构改革后乡镇动物防疫人员纳入乡镇管理，畜牧工作难以落实，安全隐患排查整改难以到位。三是规模养殖优势小。我县规模养殖比重不高，竞争力不强，优势不明显。</w:t>
      </w:r>
    </w:p>
    <w:p>
      <w:pPr>
        <w:keepNext w:val="0"/>
        <w:keepLines w:val="0"/>
        <w:pageBreakBefore w:val="0"/>
        <w:widowControl w:val="0"/>
        <w:kinsoku/>
        <w:overflowPunct/>
        <w:topLinePunct w:val="0"/>
        <w:autoSpaceDN/>
        <w:bidi w:val="0"/>
        <w:adjustRightInd/>
        <w:snapToGrid/>
        <w:spacing w:line="54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方正楷体_GBK" w:hAnsi="方正楷体_GBK" w:eastAsia="方正楷体_GBK" w:cs="方正楷体_GBK"/>
          <w:b w:val="0"/>
          <w:bCs w:val="0"/>
          <w:sz w:val="32"/>
          <w:szCs w:val="32"/>
          <w:lang w:val="en-US" w:eastAsia="zh-CN"/>
        </w:rPr>
        <w:t>（二）水产养殖难壮大。</w:t>
      </w:r>
      <w:r>
        <w:rPr>
          <w:rFonts w:hint="eastAsia" w:ascii="仿宋_GB2312" w:hAnsi="Times New Roman" w:eastAsia="仿宋_GB2312" w:cs="仿宋_GB2312"/>
          <w:kern w:val="2"/>
          <w:sz w:val="32"/>
          <w:szCs w:val="32"/>
          <w:lang w:val="en-US" w:eastAsia="zh-CN" w:bidi="ar"/>
        </w:rPr>
        <w:t xml:space="preserve">一是池塘尾水监管难。我县养殖业主自筹配套资金难，无社会外来企业资本流入，后期运营管理维护难度大。二是养殖主体素质低。养殖业主生态环保意识淡薄，大部分养殖户只单方面顾及养殖的产值和效益，忽视环境保护。 </w:t>
      </w:r>
    </w:p>
    <w:p>
      <w:pPr>
        <w:keepNext w:val="0"/>
        <w:keepLines w:val="0"/>
        <w:pageBreakBefore w:val="0"/>
        <w:widowControl w:val="0"/>
        <w:kinsoku/>
        <w:overflowPunct/>
        <w:topLinePunct w:val="0"/>
        <w:autoSpaceDN/>
        <w:bidi w:val="0"/>
        <w:adjustRightInd/>
        <w:snapToGrid/>
        <w:spacing w:line="54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方正楷体_GBK" w:hAnsi="方正楷体_GBK" w:eastAsia="方正楷体_GBK" w:cs="方正楷体_GBK"/>
          <w:b w:val="0"/>
          <w:bCs w:val="0"/>
          <w:sz w:val="32"/>
          <w:szCs w:val="32"/>
          <w:lang w:val="en-US" w:eastAsia="zh-CN"/>
        </w:rPr>
        <w:t>（三）重大动物疫病防控压力大。</w:t>
      </w:r>
      <w:r>
        <w:rPr>
          <w:rFonts w:hint="eastAsia" w:ascii="仿宋_GB2312" w:hAnsi="Times New Roman" w:eastAsia="仿宋_GB2312" w:cs="仿宋_GB2312"/>
          <w:kern w:val="2"/>
          <w:sz w:val="32"/>
          <w:szCs w:val="32"/>
          <w:lang w:val="en-US" w:eastAsia="zh-CN" w:bidi="ar"/>
        </w:rPr>
        <w:t xml:space="preserve">重大动物疫病疫源分布广，病原变异快，新的疫病不断出现，加之中心专技人员出现断层，青黄不接，人手严重短缺，影响工作正常开展。 </w:t>
      </w:r>
    </w:p>
    <w:p>
      <w:pPr>
        <w:keepNext w:val="0"/>
        <w:keepLines w:val="0"/>
        <w:pageBreakBefore w:val="0"/>
        <w:widowControl w:val="0"/>
        <w:kinsoku/>
        <w:overflowPunct/>
        <w:topLinePunct w:val="0"/>
        <w:autoSpaceDN/>
        <w:bidi w:val="0"/>
        <w:adjustRightInd/>
        <w:snapToGrid/>
        <w:spacing w:line="54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方正楷体_GBK" w:hAnsi="方正楷体_GBK" w:eastAsia="方正楷体_GBK" w:cs="方正楷体_GBK"/>
          <w:b w:val="0"/>
          <w:bCs w:val="0"/>
          <w:sz w:val="32"/>
          <w:szCs w:val="32"/>
          <w:lang w:val="en-US" w:eastAsia="zh-CN"/>
        </w:rPr>
        <w:t>（四）养殖业投入严重不足。</w:t>
      </w:r>
      <w:r>
        <w:rPr>
          <w:rFonts w:hint="eastAsia" w:ascii="仿宋_GB2312" w:hAnsi="Times New Roman" w:eastAsia="仿宋_GB2312" w:cs="仿宋_GB2312"/>
          <w:kern w:val="2"/>
          <w:sz w:val="32"/>
          <w:szCs w:val="32"/>
          <w:lang w:val="en-US" w:eastAsia="zh-CN" w:bidi="ar"/>
        </w:rPr>
        <w:t>资金投入短缺，仍然是制约我县现代养殖业发展的重要瓶颈。如产业规模化、养殖标准化、养殖品种优化、动物疫病防控等投入严重不足。</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kern w:val="0"/>
          <w:sz w:val="32"/>
          <w:szCs w:val="32"/>
        </w:rPr>
      </w:pPr>
      <w:r>
        <w:rPr>
          <w:rFonts w:hint="eastAsia" w:cs="黑体"/>
          <w:kern w:val="0"/>
          <w:sz w:val="32"/>
          <w:szCs w:val="32"/>
          <w:lang w:eastAsia="zh-CN"/>
        </w:rPr>
        <w:t>八</w:t>
      </w:r>
      <w:r>
        <w:rPr>
          <w:rFonts w:hint="eastAsia" w:ascii="黑体" w:hAnsi="黑体" w:eastAsia="黑体" w:cs="黑体"/>
          <w:kern w:val="0"/>
          <w:sz w:val="32"/>
          <w:szCs w:val="32"/>
        </w:rPr>
        <w:t>、下一步改进措施</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科学合理编制预算，严格执行预算。要按照《预算法》及其实施条例的相关规定，参考今年的预算执行情况和年度的收支预测科学编制预算，避免年中大幅追加以及超预算。同时严格预算执行，提高资金使用效率。</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2、规范账务处理，提高财务信息质量。严格按照《会计法》、《行政单位会计制度》、《行政单位财务规则》等规定，</w:t>
      </w:r>
      <w:bookmarkStart w:id="0" w:name="_Hlk29396950"/>
      <w:bookmarkEnd w:id="0"/>
      <w:r>
        <w:rPr>
          <w:rFonts w:hint="eastAsia" w:ascii="仿宋_GB2312" w:hAnsi="仿宋_GB2312" w:eastAsia="仿宋_GB2312" w:cs="仿宋_GB2312"/>
          <w:kern w:val="0"/>
          <w:sz w:val="32"/>
          <w:szCs w:val="32"/>
        </w:rPr>
        <w:t>争取配备专业人员从事财务工作，结合实际情况，科学设置支出科目，规范财务核算，完整披露相关信息。</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3、加强单位内控制度建设，完善相关内部管理制度。按县财政局要求开展内部控制建设工作，通过查找内部管理中的薄弱环节提出问题；通过清理制度完善各项《内部控制制度》。</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九、部门整体支出绩效自评结果拟应用和公开情况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绩效自评报告由财政局在网站统一公开。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其他需要说明的情况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pPr>
        <w:pStyle w:val="2"/>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rFonts w:hint="eastAsia" w:ascii="仿宋_GB2312" w:hAnsi="仿宋_GB2312" w:eastAsia="仿宋_GB2312" w:cs="仿宋_GB2312"/>
          <w:kern w:val="0"/>
          <w:sz w:val="28"/>
          <w:szCs w:val="28"/>
        </w:rPr>
      </w:pPr>
    </w:p>
    <w:p>
      <w:pPr>
        <w:rPr>
          <w:rFonts w:hint="eastAsia" w:ascii="仿宋_GB2312" w:hAnsi="仿宋_GB2312" w:eastAsia="仿宋_GB2312" w:cs="仿宋_GB2312"/>
          <w:kern w:val="0"/>
          <w:sz w:val="28"/>
          <w:szCs w:val="28"/>
        </w:rPr>
      </w:pPr>
    </w:p>
    <w:p>
      <w:pPr>
        <w:rPr>
          <w:rFonts w:hint="eastAsia" w:ascii="仿宋_GB2312" w:hAnsi="仿宋_GB2312" w:eastAsia="仿宋_GB2312" w:cs="仿宋_GB2312"/>
          <w:kern w:val="0"/>
          <w:sz w:val="28"/>
          <w:szCs w:val="28"/>
        </w:rPr>
      </w:pPr>
    </w:p>
    <w:p>
      <w:pPr>
        <w:rPr>
          <w:rFonts w:hint="eastAsia" w:ascii="仿宋_GB2312" w:hAnsi="仿宋_GB2312" w:eastAsia="仿宋_GB2312" w:cs="仿宋_GB2312"/>
          <w:kern w:val="0"/>
          <w:sz w:val="28"/>
          <w:szCs w:val="28"/>
        </w:rPr>
      </w:pPr>
    </w:p>
    <w:p>
      <w:pPr>
        <w:rPr>
          <w:rFonts w:hint="eastAsia" w:ascii="仿宋_GB2312" w:hAnsi="仿宋_GB2312" w:eastAsia="仿宋_GB2312" w:cs="仿宋_GB2312"/>
          <w:kern w:val="0"/>
          <w:sz w:val="28"/>
          <w:szCs w:val="28"/>
        </w:rPr>
      </w:pPr>
    </w:p>
    <w:p>
      <w:pPr>
        <w:rPr>
          <w:rFonts w:hint="eastAsia" w:ascii="仿宋_GB2312" w:hAnsi="仿宋_GB2312" w:eastAsia="仿宋_GB2312" w:cs="仿宋_GB2312"/>
          <w:kern w:val="0"/>
          <w:sz w:val="28"/>
          <w:szCs w:val="28"/>
        </w:rPr>
      </w:pPr>
    </w:p>
    <w:p>
      <w:pPr>
        <w:rPr>
          <w:rFonts w:hint="eastAsia" w:ascii="仿宋_GB2312" w:hAnsi="仿宋_GB2312" w:eastAsia="仿宋_GB2312" w:cs="仿宋_GB2312"/>
          <w:kern w:val="0"/>
          <w:sz w:val="28"/>
          <w:szCs w:val="28"/>
        </w:rPr>
      </w:pPr>
    </w:p>
    <w:p>
      <w:pPr>
        <w:rPr>
          <w:rFonts w:hint="eastAsia" w:ascii="仿宋_GB2312" w:hAnsi="仿宋_GB2312" w:eastAsia="仿宋_GB2312" w:cs="仿宋_GB2312"/>
          <w:kern w:val="0"/>
          <w:sz w:val="28"/>
          <w:szCs w:val="28"/>
        </w:rPr>
      </w:pPr>
    </w:p>
    <w:p>
      <w:pPr>
        <w:rPr>
          <w:rFonts w:hint="eastAsia" w:ascii="仿宋_GB2312" w:hAnsi="仿宋_GB2312" w:eastAsia="仿宋_GB2312" w:cs="仿宋_GB2312"/>
          <w:kern w:val="0"/>
          <w:sz w:val="28"/>
          <w:szCs w:val="28"/>
        </w:rPr>
      </w:pPr>
    </w:p>
    <w:p>
      <w:pPr>
        <w:rPr>
          <w:rFonts w:hint="eastAsia" w:ascii="仿宋_GB2312" w:hAnsi="仿宋_GB2312" w:eastAsia="仿宋_GB2312" w:cs="仿宋_GB2312"/>
          <w:kern w:val="0"/>
          <w:sz w:val="28"/>
          <w:szCs w:val="28"/>
        </w:rPr>
      </w:pPr>
    </w:p>
    <w:p>
      <w:pPr>
        <w:rPr>
          <w:rFonts w:hint="eastAsia" w:ascii="仿宋_GB2312" w:hAnsi="仿宋_GB2312" w:eastAsia="仿宋_GB2312" w:cs="仿宋_GB2312"/>
          <w:kern w:val="0"/>
          <w:sz w:val="28"/>
          <w:szCs w:val="28"/>
        </w:rPr>
      </w:pPr>
    </w:p>
    <w:p>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附件2</w:t>
      </w:r>
    </w:p>
    <w:p>
      <w:pPr>
        <w:jc w:val="center"/>
        <w:outlineLvl w:val="0"/>
        <w:rPr>
          <w:sz w:val="30"/>
          <w:szCs w:val="30"/>
        </w:rPr>
      </w:pPr>
      <w:r>
        <w:rPr>
          <w:sz w:val="30"/>
          <w:szCs w:val="30"/>
        </w:rPr>
        <w:t>202</w:t>
      </w:r>
      <w:r>
        <w:rPr>
          <w:rFonts w:hint="eastAsia"/>
          <w:sz w:val="30"/>
          <w:szCs w:val="30"/>
          <w:lang w:val="en-US" w:eastAsia="zh-CN"/>
        </w:rPr>
        <w:t>4</w:t>
      </w:r>
      <w:r>
        <w:rPr>
          <w:sz w:val="30"/>
          <w:szCs w:val="30"/>
        </w:rPr>
        <w:t>年度部门整体支出绩效评价基础数据表</w:t>
      </w:r>
    </w:p>
    <w:tbl>
      <w:tblPr>
        <w:tblStyle w:val="10"/>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pPr>
            <w: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pPr>
            <w: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pPr>
            <w:r>
              <w:t>202</w:t>
            </w:r>
            <w:r>
              <w:rPr>
                <w:rFonts w:hint="eastAsia"/>
                <w:lang w:val="en-US" w:eastAsia="zh-CN"/>
              </w:rPr>
              <w:t>4</w:t>
            </w:r>
            <w: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jc w:val="center"/>
            </w:pPr>
            <w: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25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21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黑体"/>
                <w:lang w:val="en-US" w:eastAsia="zh-CN"/>
              </w:rPr>
            </w:pPr>
            <w:r>
              <w:rPr>
                <w:rFonts w:hint="eastAsia"/>
                <w:lang w:val="en-US" w:eastAsia="zh-CN"/>
              </w:rPr>
              <w:t>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r>
              <w:t>202</w:t>
            </w:r>
            <w:r>
              <w:rPr>
                <w:rFonts w:hint="eastAsia"/>
                <w:lang w:val="en-US" w:eastAsia="zh-CN"/>
              </w:rPr>
              <w:t>3</w:t>
            </w:r>
            <w: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r>
              <w:t>202</w:t>
            </w:r>
            <w:r>
              <w:rPr>
                <w:rFonts w:hint="eastAsia"/>
                <w:lang w:val="en-US" w:eastAsia="zh-CN"/>
              </w:rPr>
              <w:t>4</w:t>
            </w:r>
            <w: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pPr>
            <w:r>
              <w:t>202</w:t>
            </w:r>
            <w:r>
              <w:rPr>
                <w:rFonts w:hint="eastAsia"/>
                <w:lang w:val="en-US" w:eastAsia="zh-CN"/>
              </w:rPr>
              <w:t>4</w:t>
            </w:r>
            <w: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363.37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358.40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黑体"/>
                <w:lang w:val="en-US" w:eastAsia="zh-CN"/>
              </w:rPr>
            </w:pPr>
            <w:r>
              <w:rPr>
                <w:rFonts w:hint="eastAsia"/>
                <w:lang w:val="en-US" w:eastAsia="zh-CN"/>
              </w:rPr>
              <w:t>358.40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29.00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26.00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黑体"/>
                <w:lang w:val="en-US" w:eastAsia="zh-CN"/>
              </w:rPr>
            </w:pPr>
            <w:r>
              <w:rPr>
                <w:rFonts w:hint="eastAsia"/>
                <w:lang w:val="en-US" w:eastAsia="zh-CN"/>
              </w:rPr>
              <w:t>26.00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9.59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4.00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黑体"/>
                <w:lang w:val="en-US" w:eastAsia="zh-CN"/>
              </w:rPr>
            </w:pPr>
            <w:r>
              <w:rPr>
                <w:rFonts w:hint="eastAsia"/>
                <w:lang w:val="en-US" w:eastAsia="zh-CN"/>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19.56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4.2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黑体"/>
                <w:lang w:val="en-US" w:eastAsia="zh-CN"/>
              </w:rPr>
            </w:pPr>
            <w:r>
              <w:rPr>
                <w:rFonts w:hint="eastAsia"/>
                <w:lang w:val="en-US" w:eastAsia="zh-CN"/>
              </w:rPr>
              <w:t>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eastAsia="黑体"/>
                <w:lang w:val="en-US" w:eastAsia="zh-CN"/>
              </w:rPr>
            </w:pPr>
            <w:r>
              <w:rPr>
                <w:rFonts w:hint="eastAsia"/>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eastAsia" w:eastAsia="黑体"/>
                <w:lang w:val="en-US" w:eastAsia="zh-CN"/>
              </w:rPr>
            </w:pPr>
            <w:r>
              <w:rPr>
                <w:rFonts w:hint="eastAsia"/>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8.58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11.60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黑体"/>
                <w:lang w:val="en-US" w:eastAsia="zh-CN"/>
              </w:rPr>
            </w:pPr>
            <w:r>
              <w:rPr>
                <w:rFonts w:hint="eastAsia"/>
                <w:lang w:val="en-US" w:eastAsia="zh-CN"/>
              </w:rPr>
              <w:t>11.60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lang w:val="en-US" w:eastAsia="zh-CN"/>
              </w:rPr>
              <w:t>2.93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6.60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黑体"/>
                <w:lang w:val="en-US" w:eastAsia="zh-CN"/>
              </w:rPr>
            </w:pPr>
            <w:r>
              <w:rPr>
                <w:rFonts w:hint="eastAsia"/>
                <w:lang w:val="en-US" w:eastAsia="zh-CN"/>
              </w:rPr>
              <w:t>6.60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5.65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5.00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黑体"/>
                <w:lang w:val="en-US" w:eastAsia="zh-CN"/>
              </w:rPr>
            </w:pPr>
            <w:r>
              <w:rPr>
                <w:rFonts w:hint="eastAsia"/>
                <w:lang w:val="en-US" w:eastAsia="zh-CN"/>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125.29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284.53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黑体"/>
                <w:lang w:val="en-US" w:eastAsia="zh-CN"/>
              </w:rPr>
            </w:pPr>
            <w:r>
              <w:rPr>
                <w:rFonts w:hint="eastAsia"/>
                <w:lang w:val="en-US" w:eastAsia="zh-CN"/>
              </w:rPr>
              <w:t>284.53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rPr>
                <w:rFonts w:hint="eastAsia"/>
              </w:rPr>
              <w:t>城乡社区支出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30.22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6.00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黑体"/>
                <w:lang w:val="en-US" w:eastAsia="zh-CN"/>
              </w:rPr>
            </w:pPr>
            <w:r>
              <w:rPr>
                <w:rFonts w:hint="eastAsia"/>
                <w:lang w:val="en-US" w:eastAsia="zh-CN"/>
              </w:rPr>
              <w:t>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eastAsia" w:eastAsia="黑体"/>
                <w:lang w:eastAsia="zh-CN"/>
              </w:rPr>
            </w:pPr>
            <w:r>
              <w:rPr>
                <w:rFonts w:hint="eastAsia"/>
                <w:lang w:eastAsia="zh-CN"/>
              </w:rPr>
              <w:t>农林水支出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128.53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黑体"/>
                <w:lang w:val="en-US" w:eastAsia="zh-CN"/>
              </w:rPr>
            </w:pPr>
            <w:r>
              <w:rPr>
                <w:rFonts w:hint="eastAsia"/>
                <w:lang w:val="en-US" w:eastAsia="zh-CN"/>
              </w:rPr>
              <w:t>128.53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3.（一个项目一行）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rPr>
                <w:rFonts w:hint="eastAsia"/>
              </w:rPr>
              <w:t>商业服务业等支出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150.00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黑体"/>
                <w:lang w:val="en-US" w:eastAsia="zh-CN"/>
              </w:rPr>
            </w:pPr>
            <w:r>
              <w:rPr>
                <w:rFonts w:hint="eastAsia"/>
                <w:lang w:val="en-US" w:eastAsia="zh-CN"/>
              </w:rPr>
              <w:t>150.00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lang w:val="en-US"/>
              </w:rPr>
            </w:pPr>
            <w:r>
              <w:rPr>
                <w:rFonts w:hint="eastAsia"/>
                <w:lang w:val="en-US" w:eastAsia="zh-CN"/>
              </w:rPr>
              <w:t>1.50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1.50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黑体"/>
                <w:lang w:val="en-US" w:eastAsia="zh-CN"/>
              </w:rPr>
            </w:pPr>
            <w:r>
              <w:rPr>
                <w:rFonts w:hint="eastAsia"/>
                <w:lang w:val="en-US" w:eastAsia="zh-CN"/>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部门基本支出预算调整</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pPr>
            <w:r>
              <w:t>楼堂馆所控制情况</w:t>
            </w:r>
          </w:p>
          <w:p>
            <w:pPr>
              <w:jc w:val="center"/>
            </w:pPr>
            <w:r>
              <w:t>（2023年完工项目）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批复规模</w:t>
            </w:r>
          </w:p>
          <w:p>
            <w:pPr>
              <w:jc w:val="center"/>
            </w:pPr>
            <w: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pPr>
              <w:jc w:val="center"/>
            </w:pPr>
            <w: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pPr>
              <w:jc w:val="center"/>
              <w:rPr>
                <w:sz w:val="24"/>
              </w:rPr>
            </w:pPr>
            <w:r>
              <w:rPr>
                <w:kern w:val="0"/>
              </w:rPr>
              <w:t>压缩一般性支出</w:t>
            </w:r>
          </w:p>
        </w:tc>
      </w:tr>
    </w:tbl>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说明：“项目支出”需要填报基本支出以外的所有项目支出情况，“公用经费”填报基本支出中的一般商品和服务支出。</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填表人：</w:t>
      </w:r>
      <w:r>
        <w:rPr>
          <w:rFonts w:hint="eastAsia" w:ascii="仿宋_GB2312" w:hAnsi="仿宋_GB2312" w:eastAsia="仿宋_GB2312" w:cs="仿宋_GB2312"/>
          <w:sz w:val="24"/>
          <w:szCs w:val="24"/>
          <w:lang w:eastAsia="zh-CN"/>
        </w:rPr>
        <w:t>任壹楠</w:t>
      </w:r>
      <w:r>
        <w:rPr>
          <w:rFonts w:hint="eastAsia" w:ascii="仿宋_GB2312" w:hAnsi="仿宋_GB2312" w:eastAsia="仿宋_GB2312" w:cs="仿宋_GB2312"/>
          <w:sz w:val="24"/>
          <w:szCs w:val="24"/>
        </w:rPr>
        <w:t xml:space="preserve">   填报日期：202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3    联系电话：772</w:t>
      </w:r>
      <w:r>
        <w:rPr>
          <w:rFonts w:hint="eastAsia" w:ascii="仿宋_GB2312" w:hAnsi="仿宋_GB2312" w:eastAsia="仿宋_GB2312" w:cs="仿宋_GB2312"/>
          <w:sz w:val="24"/>
          <w:szCs w:val="24"/>
          <w:lang w:val="en-US" w:eastAsia="zh-CN"/>
        </w:rPr>
        <w:t>2325</w:t>
      </w:r>
      <w:r>
        <w:rPr>
          <w:rFonts w:hint="eastAsia" w:ascii="仿宋_GB2312" w:hAnsi="仿宋_GB2312" w:eastAsia="仿宋_GB2312" w:cs="仿宋_GB2312"/>
          <w:sz w:val="24"/>
          <w:szCs w:val="24"/>
        </w:rPr>
        <w:t xml:space="preserve">   单位负责人签字：</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kern w:val="0"/>
          <w:sz w:val="28"/>
          <w:szCs w:val="28"/>
        </w:rPr>
      </w:pPr>
      <w:r>
        <w:rPr>
          <w:rFonts w:hint="eastAsia" w:ascii="仿宋_GB2312" w:hAnsi="仿宋_GB2312" w:eastAsia="仿宋_GB2312" w:cs="仿宋_GB2312"/>
          <w:kern w:val="0"/>
          <w:sz w:val="28"/>
          <w:szCs w:val="28"/>
        </w:rPr>
        <w:t>附件3</w:t>
      </w:r>
    </w:p>
    <w:p>
      <w:pPr>
        <w:jc w:val="center"/>
        <w:outlineLvl w:val="0"/>
        <w:rPr>
          <w:kern w:val="0"/>
          <w:sz w:val="28"/>
          <w:szCs w:val="28"/>
        </w:rPr>
      </w:pPr>
      <w:r>
        <w:rPr>
          <w:kern w:val="0"/>
          <w:sz w:val="28"/>
          <w:szCs w:val="28"/>
        </w:rPr>
        <w:t>202</w:t>
      </w:r>
      <w:r>
        <w:rPr>
          <w:rFonts w:hint="eastAsia"/>
          <w:kern w:val="0"/>
          <w:sz w:val="28"/>
          <w:szCs w:val="28"/>
          <w:lang w:val="en-US" w:eastAsia="zh-CN"/>
        </w:rPr>
        <w:t>4</w:t>
      </w:r>
      <w:r>
        <w:rPr>
          <w:kern w:val="0"/>
          <w:sz w:val="28"/>
          <w:szCs w:val="28"/>
        </w:rPr>
        <w:t>年度部门整体支出绩效自评表</w:t>
      </w:r>
    </w:p>
    <w:tbl>
      <w:tblPr>
        <w:tblStyle w:val="10"/>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27"/>
        <w:gridCol w:w="987"/>
        <w:gridCol w:w="844"/>
        <w:gridCol w:w="1309"/>
        <w:gridCol w:w="373"/>
        <w:gridCol w:w="1282"/>
        <w:gridCol w:w="1002"/>
        <w:gridCol w:w="599"/>
        <w:gridCol w:w="846"/>
        <w:gridCol w:w="12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827" w:type="dxa"/>
            <w:tcBorders>
              <w:top w:val="single" w:color="auto" w:sz="12" w:space="0"/>
              <w:left w:val="single" w:color="auto" w:sz="12" w:space="0"/>
              <w:bottom w:val="single" w:color="auto" w:sz="6" w:space="0"/>
              <w:right w:val="single" w:color="auto" w:sz="6" w:space="0"/>
              <w:tl2br w:val="nil"/>
              <w:tr2bl w:val="nil"/>
            </w:tcBorders>
            <w:vAlign w:val="center"/>
          </w:tcPr>
          <w:p>
            <w:pPr>
              <w:jc w:val="center"/>
            </w:pPr>
            <w:r>
              <w:t>县级预算部门名称</w:t>
            </w:r>
          </w:p>
        </w:tc>
        <w:tc>
          <w:tcPr>
            <w:tcW w:w="8484" w:type="dxa"/>
            <w:gridSpan w:val="9"/>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eastAsia" w:eastAsia="黑体"/>
                <w:lang w:eastAsia="zh-CN"/>
              </w:rPr>
            </w:pPr>
            <w:r>
              <w:t>双牌县</w:t>
            </w:r>
            <w:r>
              <w:rPr>
                <w:rFonts w:hint="eastAsia"/>
                <w:lang w:eastAsia="zh-CN"/>
              </w:rPr>
              <w:t>畜牧水产事务中心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827"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pPr>
            <w:r>
              <w:t>年度预</w:t>
            </w:r>
          </w:p>
          <w:p>
            <w:pPr>
              <w:jc w:val="center"/>
            </w:pPr>
            <w:r>
              <w:t>算申请</w:t>
            </w:r>
          </w:p>
          <w:p>
            <w:pPr>
              <w:jc w:val="center"/>
            </w:pPr>
            <w:r>
              <w:t>（万元）</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309"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年初预算数</w:t>
            </w:r>
          </w:p>
        </w:tc>
        <w:tc>
          <w:tcPr>
            <w:tcW w:w="1655"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r>
              <w:t>全年预算数</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全年执行数</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分值</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执行率</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r>
              <w:t>年度资金总额</w:t>
            </w:r>
          </w:p>
        </w:tc>
        <w:tc>
          <w:tcPr>
            <w:tcW w:w="13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lang w:val="en-US"/>
              </w:rPr>
            </w:pPr>
            <w:r>
              <w:rPr>
                <w:rFonts w:hint="eastAsia" w:asciiTheme="minorEastAsia" w:hAnsiTheme="minorEastAsia" w:eastAsiaTheme="minorEastAsia" w:cstheme="minorEastAsia"/>
                <w:sz w:val="24"/>
                <w:lang w:val="en-US" w:eastAsia="zh-CN"/>
              </w:rPr>
              <w:t>642.93</w:t>
            </w:r>
          </w:p>
        </w:tc>
        <w:tc>
          <w:tcPr>
            <w:tcW w:w="1655"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lang w:val="en-US"/>
              </w:rPr>
            </w:pPr>
            <w:r>
              <w:rPr>
                <w:rFonts w:hint="eastAsia" w:asciiTheme="minorEastAsia" w:hAnsiTheme="minorEastAsia" w:eastAsiaTheme="minorEastAsia" w:cstheme="minorEastAsia"/>
                <w:sz w:val="24"/>
                <w:lang w:val="en-US" w:eastAsia="zh-CN"/>
              </w:rPr>
              <w:t>642.93</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lang w:val="en-US"/>
              </w:rPr>
            </w:pPr>
            <w:r>
              <w:rPr>
                <w:rFonts w:hint="eastAsia" w:asciiTheme="minorEastAsia" w:hAnsiTheme="minorEastAsia" w:eastAsiaTheme="minorEastAsia" w:cstheme="minorEastAsia"/>
                <w:sz w:val="24"/>
                <w:lang w:val="en-US" w:eastAsia="zh-CN"/>
              </w:rPr>
              <w:t>642.93</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pPr>
              <w:jc w:val="center"/>
            </w:pPr>
            <w:r>
              <w:t>按收入性质分：</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pPr>
            <w: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pPr>
              <w:jc w:val="center"/>
            </w:pPr>
            <w:r>
              <w:t>其中：  一般公共预算：</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lang w:val="en-US"/>
              </w:rPr>
            </w:pPr>
            <w:r>
              <w:t>其中：基本支出：</w:t>
            </w:r>
            <w:r>
              <w:rPr>
                <w:rFonts w:hint="eastAsia" w:asciiTheme="minorEastAsia" w:hAnsiTheme="minorEastAsia" w:eastAsiaTheme="minorEastAsia" w:cstheme="minorEastAsia"/>
                <w:color w:val="000000"/>
                <w:sz w:val="24"/>
                <w:lang w:val="en-US" w:eastAsia="zh-CN"/>
              </w:rPr>
              <w:t>358.4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pPr>
              <w:jc w:val="center"/>
            </w:pPr>
            <w:r>
              <w:t>政府性基金拨款：</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lang w:val="en-US"/>
              </w:rPr>
            </w:pPr>
            <w:r>
              <w:t>项目支出：</w:t>
            </w:r>
            <w:r>
              <w:rPr>
                <w:rFonts w:hint="eastAsia" w:asciiTheme="minorEastAsia" w:hAnsiTheme="minorEastAsia" w:eastAsiaTheme="minorEastAsia" w:cstheme="minorEastAsia"/>
                <w:color w:val="000000"/>
                <w:sz w:val="24"/>
                <w:lang w:val="en-US" w:eastAsia="zh-CN"/>
              </w:rPr>
              <w:t>284.53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pPr>
              <w:jc w:val="center"/>
            </w:pPr>
            <w:r>
              <w:t>纳入专户管理的非税收入拨款：</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pPr>
              <w:jc w:val="center"/>
            </w:pPr>
            <w:r>
              <w:t>其他资金：</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827"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pPr>
            <w:r>
              <w:t>年度总体目标</w:t>
            </w: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pPr>
              <w:jc w:val="center"/>
            </w:pPr>
            <w:r>
              <w:t>预期目标</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pPr>
            <w:r>
              <w:t>实际完成情况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4795" w:type="dxa"/>
            <w:gridSpan w:val="5"/>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heme="minorEastAsia" w:hAnsiTheme="minorEastAsia" w:eastAsiaTheme="minorEastAsia" w:cstheme="minorEastAsia"/>
                <w:sz w:val="24"/>
              </w:rPr>
            </w:pPr>
            <w:r>
              <w:rPr>
                <w:rFonts w:hint="eastAsia"/>
              </w:rPr>
              <w:t>按照养殖业有关法律法规和方针政策的要求，为全县畜牧业、渔业发展和资源保护提供技术支撑和服务保障。</w:t>
            </w:r>
          </w:p>
        </w:tc>
        <w:tc>
          <w:tcPr>
            <w:tcW w:w="3689"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pPr>
            <w:r>
              <w:t>已完成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827"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pPr>
            <w:r>
              <w:t>绩</w:t>
            </w:r>
          </w:p>
          <w:p>
            <w:pPr>
              <w:jc w:val="center"/>
            </w:pPr>
            <w:r>
              <w:t>效</w:t>
            </w:r>
          </w:p>
          <w:p>
            <w:pPr>
              <w:jc w:val="center"/>
            </w:pPr>
            <w:r>
              <w:t>指</w:t>
            </w:r>
          </w:p>
          <w:p>
            <w:pPr>
              <w:jc w:val="center"/>
            </w:pPr>
            <w:r>
              <w:t>标</w:t>
            </w:r>
          </w:p>
          <w:p>
            <w:pPr>
              <w:jc w:val="center"/>
            </w:pPr>
          </w:p>
        </w:tc>
        <w:tc>
          <w:tcPr>
            <w:tcW w:w="98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一级指标</w:t>
            </w:r>
          </w:p>
        </w:tc>
        <w:tc>
          <w:tcPr>
            <w:tcW w:w="844"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二级指标</w:t>
            </w: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r>
              <w:t>三级指标</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年度指标值</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实际完成值</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分值</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得分</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98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pPr>
            <w:r>
              <w:t>产出指标</w:t>
            </w:r>
          </w:p>
          <w:p>
            <w:pPr>
              <w:jc w:val="center"/>
            </w:pPr>
            <w:r>
              <w:t>(50分)</w:t>
            </w:r>
          </w:p>
        </w:tc>
        <w:tc>
          <w:tcPr>
            <w:tcW w:w="844"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pPr>
            <w:r>
              <w:t>重点工作</w:t>
            </w:r>
          </w:p>
          <w:p>
            <w:pPr>
              <w:jc w:val="center"/>
            </w:pPr>
            <w:r>
              <w:t>任务完成</w:t>
            </w: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r>
              <w:t>单位</w:t>
            </w:r>
            <w:r>
              <w:rPr>
                <w:rFonts w:hint="eastAsia"/>
                <w:lang w:eastAsia="zh-CN"/>
              </w:rPr>
              <w:t>运转</w:t>
            </w:r>
            <w:r>
              <w:t>经费</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eastAsia="黑体"/>
                <w:lang w:eastAsia="zh-CN"/>
              </w:rPr>
            </w:pPr>
            <w:r>
              <w:rPr>
                <w:rFonts w:hint="eastAsia"/>
                <w:lang w:val="en-US" w:eastAsia="zh-CN"/>
              </w:rPr>
              <w:t>6</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eastAsia="黑体"/>
                <w:lang w:eastAsia="zh-CN"/>
              </w:rPr>
            </w:pPr>
            <w:r>
              <w:rPr>
                <w:rFonts w:hint="eastAsia"/>
                <w:lang w:val="en-US" w:eastAsia="zh-CN"/>
              </w:rPr>
              <w:t>6</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村级防疫员经费</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eastAsia="黑体"/>
                <w:lang w:eastAsia="zh-CN"/>
              </w:rPr>
            </w:pPr>
            <w:r>
              <w:rPr>
                <w:rFonts w:hint="eastAsia"/>
                <w:lang w:val="en-US" w:eastAsia="zh-CN"/>
              </w:rPr>
              <w:t>2</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eastAsia="黑体"/>
                <w:lang w:eastAsia="zh-CN"/>
              </w:rPr>
            </w:pPr>
            <w:r>
              <w:rPr>
                <w:rFonts w:hint="eastAsia"/>
                <w:lang w:val="en-US" w:eastAsia="zh-CN"/>
              </w:rPr>
              <w:t>2</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畜牧防治、非瘟防控等经费</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21.03</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21.03</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兽医人员医疗、养老保险</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6.2</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6.2</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10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rFonts w:hint="eastAsia"/>
              </w:rPr>
              <w:t>畜禽养殖资金</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36</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36</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eastAsia="黑体"/>
                <w:lang w:val="en-US" w:eastAsia="zh-CN"/>
              </w:rPr>
            </w:pPr>
            <w:r>
              <w:rPr>
                <w:rFonts w:hint="eastAsia"/>
                <w:lang w:val="en-US" w:eastAsia="zh-CN"/>
              </w:rPr>
              <w:t>10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844"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pPr>
            <w:r>
              <w:t>履职目</w:t>
            </w:r>
          </w:p>
          <w:p>
            <w:pPr>
              <w:jc w:val="center"/>
            </w:pPr>
            <w:r>
              <w:t>标实现</w:t>
            </w: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sz w:val="24"/>
              </w:rPr>
            </w:pPr>
            <w:r>
              <w:rPr>
                <w:kern w:val="0"/>
              </w:rPr>
              <w:t>成立相应工作机构、建立相应的管理制度</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sz w:val="24"/>
              </w:rPr>
            </w:pPr>
            <w:r>
              <w:rPr>
                <w:kern w:val="0"/>
              </w:rPr>
              <w:t>成立领导小组、建立相应的管理制度</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5</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5</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sz w:val="24"/>
              </w:rPr>
            </w:pPr>
            <w:r>
              <w:rPr>
                <w:kern w:val="0"/>
              </w:rPr>
              <w:t>资金使用分配及工作完成进度</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sz w:val="24"/>
              </w:rPr>
            </w:pPr>
            <w:r>
              <w:rPr>
                <w:kern w:val="0"/>
              </w:rPr>
              <w:t>按年初工作目标、考核重点实施，进行资金分配使用。</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5</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5</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98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pPr>
            <w:r>
              <w:t>效益指标</w:t>
            </w:r>
          </w:p>
          <w:p>
            <w:pPr>
              <w:jc w:val="center"/>
            </w:pPr>
            <w:r>
              <w:t>（40分）</w:t>
            </w:r>
          </w:p>
          <w:p>
            <w:pPr>
              <w:jc w:val="center"/>
            </w:pPr>
          </w:p>
          <w:p>
            <w:pPr>
              <w:jc w:val="center"/>
            </w:pPr>
          </w:p>
        </w:tc>
        <w:tc>
          <w:tcPr>
            <w:tcW w:w="844"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pPr>
            <w:r>
              <w:t>履职</w:t>
            </w:r>
          </w:p>
          <w:p>
            <w:pPr>
              <w:jc w:val="center"/>
            </w:pPr>
            <w:r>
              <w:t>效益</w:t>
            </w: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sz w:val="24"/>
              </w:rPr>
            </w:pPr>
            <w:r>
              <w:rPr>
                <w:kern w:val="0"/>
              </w:rPr>
              <w:t>专项资金按计划及时拨付</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按完工情况拨付</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拨付率</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8</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84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sz w:val="24"/>
              </w:rPr>
            </w:pPr>
            <w:r>
              <w:rPr>
                <w:kern w:val="0"/>
              </w:rPr>
              <w:t>项目产出的经济效益情况</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无经济效益明细</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无经济效益明细</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9</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827"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98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844"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满意度</w:t>
            </w:r>
          </w:p>
        </w:tc>
        <w:tc>
          <w:tcPr>
            <w:tcW w:w="1682"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heme="minorEastAsia" w:hAnsiTheme="minorEastAsia" w:eastAsiaTheme="minorEastAsia" w:cstheme="minorEastAsia"/>
                <w:sz w:val="24"/>
              </w:rPr>
            </w:pPr>
            <w:r>
              <w:rPr>
                <w:rFonts w:hint="eastAsia"/>
                <w:kern w:val="0"/>
                <w:lang w:eastAsia="zh-CN"/>
              </w:rPr>
              <w:t>群众</w:t>
            </w:r>
            <w:r>
              <w:rPr>
                <w:kern w:val="0"/>
              </w:rPr>
              <w:t>满意度</w:t>
            </w:r>
          </w:p>
        </w:tc>
        <w:tc>
          <w:tcPr>
            <w:tcW w:w="128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100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599"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20</w:t>
            </w:r>
          </w:p>
        </w:tc>
        <w:tc>
          <w:tcPr>
            <w:tcW w:w="846"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20</w:t>
            </w:r>
          </w:p>
        </w:tc>
        <w:tc>
          <w:tcPr>
            <w:tcW w:w="1242"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624" w:type="dxa"/>
            <w:gridSpan w:val="7"/>
            <w:tcBorders>
              <w:top w:val="single" w:color="auto" w:sz="6" w:space="0"/>
              <w:left w:val="single" w:color="auto" w:sz="12" w:space="0"/>
              <w:bottom w:val="single" w:color="auto" w:sz="12" w:space="0"/>
              <w:right w:val="single" w:color="auto" w:sz="6" w:space="0"/>
              <w:tl2br w:val="nil"/>
              <w:tr2bl w:val="nil"/>
            </w:tcBorders>
            <w:vAlign w:val="center"/>
          </w:tcPr>
          <w:p>
            <w:pPr>
              <w:jc w:val="center"/>
            </w:pPr>
            <w:r>
              <w:t>总分</w:t>
            </w:r>
          </w:p>
        </w:tc>
        <w:tc>
          <w:tcPr>
            <w:tcW w:w="599" w:type="dxa"/>
            <w:tcBorders>
              <w:top w:val="single" w:color="auto" w:sz="6" w:space="0"/>
              <w:left w:val="single" w:color="auto" w:sz="6" w:space="0"/>
              <w:bottom w:val="single" w:color="auto" w:sz="12" w:space="0"/>
              <w:right w:val="single" w:color="auto" w:sz="6" w:space="0"/>
              <w:tl2br w:val="nil"/>
              <w:tr2bl w:val="nil"/>
            </w:tcBorders>
            <w:vAlign w:val="center"/>
          </w:tcPr>
          <w:p>
            <w:pPr>
              <w:jc w:val="center"/>
            </w:pPr>
            <w:r>
              <w:t>100</w:t>
            </w:r>
          </w:p>
        </w:tc>
        <w:tc>
          <w:tcPr>
            <w:tcW w:w="846" w:type="dxa"/>
            <w:tcBorders>
              <w:top w:val="single" w:color="auto" w:sz="6" w:space="0"/>
              <w:left w:val="single" w:color="auto" w:sz="6" w:space="0"/>
              <w:bottom w:val="single" w:color="auto" w:sz="12" w:space="0"/>
              <w:right w:val="single" w:color="auto" w:sz="6" w:space="0"/>
              <w:tl2br w:val="nil"/>
              <w:tr2bl w:val="nil"/>
            </w:tcBorders>
            <w:vAlign w:val="center"/>
          </w:tcPr>
          <w:p>
            <w:pPr>
              <w:jc w:val="center"/>
            </w:pPr>
            <w:r>
              <w:t>98</w:t>
            </w:r>
          </w:p>
        </w:tc>
        <w:tc>
          <w:tcPr>
            <w:tcW w:w="1242" w:type="dxa"/>
            <w:tcBorders>
              <w:top w:val="single" w:color="auto" w:sz="6" w:space="0"/>
              <w:left w:val="single" w:color="auto" w:sz="6" w:space="0"/>
              <w:bottom w:val="single" w:color="auto" w:sz="12" w:space="0"/>
              <w:right w:val="single" w:color="auto" w:sz="12" w:space="0"/>
              <w:tl2br w:val="nil"/>
              <w:tr2bl w:val="nil"/>
            </w:tcBorders>
            <w:vAlign w:val="center"/>
          </w:tcPr>
          <w:p>
            <w:pPr>
              <w:jc w:val="center"/>
            </w:pPr>
          </w:p>
        </w:tc>
      </w:tr>
    </w:tbl>
    <w:p>
      <w:pPr>
        <w:rPr>
          <w:sz w:val="32"/>
        </w:rPr>
      </w:pPr>
      <w:r>
        <w:rPr>
          <w:rFonts w:hint="eastAsia" w:ascii="仿宋_GB2312" w:hAnsi="仿宋_GB2312" w:eastAsia="仿宋_GB2312" w:cs="仿宋_GB2312"/>
          <w:sz w:val="24"/>
          <w:szCs w:val="24"/>
        </w:rPr>
        <w:t>填表人：</w:t>
      </w:r>
      <w:r>
        <w:rPr>
          <w:rFonts w:hint="eastAsia" w:ascii="仿宋_GB2312" w:hAnsi="仿宋_GB2312" w:eastAsia="仿宋_GB2312" w:cs="仿宋_GB2312"/>
          <w:sz w:val="24"/>
          <w:szCs w:val="24"/>
          <w:lang w:eastAsia="zh-CN"/>
        </w:rPr>
        <w:t>任壹楠</w:t>
      </w:r>
      <w:r>
        <w:rPr>
          <w:rFonts w:hint="eastAsia" w:ascii="仿宋_GB2312" w:hAnsi="仿宋_GB2312" w:eastAsia="仿宋_GB2312" w:cs="仿宋_GB2312"/>
          <w:sz w:val="24"/>
          <w:szCs w:val="24"/>
        </w:rPr>
        <w:t xml:space="preserve"> 填报日期：202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3  联系电话：772</w:t>
      </w:r>
      <w:r>
        <w:rPr>
          <w:rFonts w:hint="eastAsia" w:ascii="仿宋_GB2312" w:hAnsi="仿宋_GB2312" w:eastAsia="仿宋_GB2312" w:cs="仿宋_GB2312"/>
          <w:sz w:val="24"/>
          <w:szCs w:val="24"/>
          <w:lang w:val="en-US" w:eastAsia="zh-CN"/>
        </w:rPr>
        <w:t>2325</w:t>
      </w:r>
      <w:r>
        <w:rPr>
          <w:rFonts w:hint="eastAsia" w:ascii="仿宋_GB2312" w:hAnsi="仿宋_GB2312" w:eastAsia="仿宋_GB2312" w:cs="仿宋_GB2312"/>
          <w:sz w:val="24"/>
          <w:szCs w:val="24"/>
        </w:rPr>
        <w:t xml:space="preserve">   单位负责人签字：</w:t>
      </w:r>
      <w:r>
        <w:br w:type="page"/>
      </w:r>
      <w:r>
        <w:rPr>
          <w:rFonts w:hint="eastAsia" w:ascii="仿宋_GB2312" w:hAnsi="仿宋_GB2312" w:eastAsia="仿宋_GB2312" w:cs="仿宋_GB2312"/>
          <w:kern w:val="0"/>
          <w:sz w:val="28"/>
          <w:szCs w:val="28"/>
        </w:rPr>
        <w:t>附件4</w:t>
      </w:r>
    </w:p>
    <w:p>
      <w:pPr>
        <w:jc w:val="center"/>
        <w:outlineLvl w:val="0"/>
        <w:rPr>
          <w:kern w:val="0"/>
          <w:sz w:val="28"/>
          <w:szCs w:val="28"/>
        </w:rPr>
      </w:pPr>
      <w:r>
        <w:rPr>
          <w:kern w:val="0"/>
          <w:sz w:val="28"/>
          <w:szCs w:val="28"/>
        </w:rPr>
        <w:t>202</w:t>
      </w:r>
      <w:r>
        <w:rPr>
          <w:rFonts w:hint="eastAsia"/>
          <w:kern w:val="0"/>
          <w:sz w:val="28"/>
          <w:szCs w:val="28"/>
          <w:lang w:val="en-US" w:eastAsia="zh-CN"/>
        </w:rPr>
        <w:t>4</w:t>
      </w:r>
      <w:r>
        <w:rPr>
          <w:kern w:val="0"/>
          <w:sz w:val="28"/>
          <w:szCs w:val="28"/>
        </w:rPr>
        <w:t>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pPr>
            <w: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pPr>
            <w: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jc w:val="center"/>
            </w:pPr>
            <w:r>
              <w:t>双牌县</w:t>
            </w:r>
            <w:r>
              <w:rPr>
                <w:rFonts w:hint="eastAsia"/>
                <w:lang w:eastAsia="zh-CN"/>
              </w:rPr>
              <w:t>畜牧水产事务中心</w:t>
            </w:r>
            <w:r>
              <w:t>专项工作经费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eastAsia" w:eastAsia="黑体"/>
                <w:lang w:eastAsia="zh-CN"/>
              </w:rPr>
            </w:pPr>
            <w:r>
              <w:t>双牌县</w:t>
            </w:r>
            <w:r>
              <w:rPr>
                <w:rFonts w:hint="eastAsia"/>
                <w:lang w:eastAsia="zh-CN"/>
              </w:rPr>
              <w:t>畜牧水产事务中心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eastAsia" w:eastAsia="黑体"/>
                <w:lang w:eastAsia="zh-CN"/>
              </w:rPr>
            </w:pPr>
            <w:r>
              <w:rPr>
                <w:rFonts w:hint="eastAsia"/>
                <w:lang w:eastAsia="zh-CN"/>
              </w:rPr>
              <w:t>动物防疫资金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pPr>
            <w: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r>
              <w:t>已完成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r>
              <w:rPr>
                <w:rFonts w:hint="eastAsia"/>
                <w:lang w:val="en-US" w:eastAsia="zh-CN"/>
              </w:rPr>
              <w:t>全县共免疫猪口蹄疫苗32.5万头，牛口蹄疫免疫注射5.47万头，羊口蹄疫苗13.29万只，禽流感疫328.9万羽。畜禽强制免疫应免密度达到95%以上，牲畜标识佩挂率达到100%；免疫抗体合格率达到75%以上，构筑有效免疫屏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pPr>
            <w: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pStyle w:val="2"/>
              <w:jc w:val="center"/>
            </w:pPr>
            <w: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vAlign w:val="center"/>
          </w:tcPr>
          <w:p>
            <w:pPr>
              <w:jc w:val="cente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pPr>
            <w: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jc w:val="center"/>
            </w:pPr>
            <w:r>
              <w:t>无</w:t>
            </w:r>
          </w:p>
        </w:tc>
      </w:tr>
    </w:tbl>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备注：每个项目支出分别填报自评报告和自评表。</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填表人：</w:t>
      </w:r>
      <w:r>
        <w:rPr>
          <w:rFonts w:hint="eastAsia" w:ascii="仿宋_GB2312" w:hAnsi="仿宋_GB2312" w:eastAsia="仿宋_GB2312" w:cs="仿宋_GB2312"/>
          <w:sz w:val="24"/>
          <w:szCs w:val="24"/>
          <w:lang w:eastAsia="zh-CN"/>
        </w:rPr>
        <w:t>任壹楠</w:t>
      </w:r>
      <w:r>
        <w:rPr>
          <w:rFonts w:hint="eastAsia" w:ascii="仿宋_GB2312" w:hAnsi="仿宋_GB2312" w:eastAsia="仿宋_GB2312" w:cs="仿宋_GB2312"/>
          <w:sz w:val="24"/>
          <w:szCs w:val="24"/>
        </w:rPr>
        <w:t xml:space="preserve">   填报日期：202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3   联系电话： 772</w:t>
      </w:r>
      <w:r>
        <w:rPr>
          <w:rFonts w:hint="eastAsia" w:ascii="仿宋_GB2312" w:hAnsi="仿宋_GB2312" w:eastAsia="仿宋_GB2312" w:cs="仿宋_GB2312"/>
          <w:sz w:val="24"/>
          <w:szCs w:val="24"/>
          <w:lang w:val="en-US" w:eastAsia="zh-CN"/>
        </w:rPr>
        <w:t>2325</w:t>
      </w:r>
      <w:r>
        <w:rPr>
          <w:rFonts w:hint="eastAsia" w:ascii="仿宋_GB2312" w:hAnsi="仿宋_GB2312" w:eastAsia="仿宋_GB2312" w:cs="仿宋_GB2312"/>
          <w:sz w:val="24"/>
          <w:szCs w:val="24"/>
        </w:rPr>
        <w:t xml:space="preserve">  单位负责人签字：</w:t>
      </w:r>
    </w:p>
    <w:p>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附件5</w:t>
      </w:r>
    </w:p>
    <w:p>
      <w:pPr>
        <w:jc w:val="center"/>
        <w:outlineLvl w:val="0"/>
        <w:rPr>
          <w:kern w:val="0"/>
          <w:sz w:val="28"/>
          <w:szCs w:val="28"/>
        </w:rPr>
      </w:pPr>
      <w:r>
        <w:rPr>
          <w:kern w:val="0"/>
          <w:sz w:val="28"/>
          <w:szCs w:val="28"/>
        </w:rPr>
        <w:t>202</w:t>
      </w:r>
      <w:r>
        <w:rPr>
          <w:rFonts w:hint="eastAsia"/>
          <w:kern w:val="0"/>
          <w:sz w:val="28"/>
          <w:szCs w:val="28"/>
          <w:lang w:val="en-US" w:eastAsia="zh-CN"/>
        </w:rPr>
        <w:t>4</w:t>
      </w:r>
      <w:r>
        <w:rPr>
          <w:kern w:val="0"/>
          <w:sz w:val="28"/>
          <w:szCs w:val="28"/>
        </w:rPr>
        <w:t>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jc w:val="center"/>
            </w:pPr>
            <w:r>
              <w:t>项目支</w:t>
            </w:r>
          </w:p>
          <w:p>
            <w:pPr>
              <w:jc w:val="center"/>
            </w:pPr>
            <w: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asciiTheme="minorEastAsia" w:hAnsiTheme="minorEastAsia" w:eastAsiaTheme="minorEastAsia" w:cstheme="minorEastAsia"/>
                <w:sz w:val="24"/>
              </w:rPr>
            </w:pPr>
            <w:r>
              <w:rPr>
                <w:rFonts w:hint="eastAsia"/>
                <w:kern w:val="0"/>
                <w:lang w:eastAsia="zh-CN"/>
              </w:rPr>
              <w:t>动物防疫</w:t>
            </w:r>
            <w:r>
              <w:rPr>
                <w:kern w:val="0"/>
              </w:rPr>
              <w:t>项目资金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jc w:val="center"/>
            </w:pPr>
            <w: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eastAsia="黑体"/>
                <w:lang w:eastAsia="zh-CN"/>
              </w:rPr>
            </w:pPr>
            <w:r>
              <w:t>双牌县</w:t>
            </w:r>
            <w:r>
              <w:rPr>
                <w:rFonts w:hint="eastAsia"/>
                <w:lang w:eastAsia="zh-CN"/>
              </w:rPr>
              <w:t>畜牧水产事务中心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eastAsia" w:eastAsia="黑体"/>
                <w:lang w:eastAsia="zh-CN"/>
              </w:rPr>
            </w:pPr>
            <w:r>
              <w:t>双牌县</w:t>
            </w:r>
            <w:r>
              <w:rPr>
                <w:rFonts w:hint="eastAsia"/>
                <w:lang w:eastAsia="zh-CN"/>
              </w:rPr>
              <w:t>畜牧水产事务中心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pPr>
            <w:r>
              <w:t>项目资金</w:t>
            </w:r>
          </w:p>
          <w:p>
            <w:pPr>
              <w:jc w:val="center"/>
            </w:pPr>
            <w: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年初</w:t>
            </w:r>
          </w:p>
          <w:p>
            <w:pPr>
              <w:jc w:val="center"/>
            </w:pPr>
            <w: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全年</w:t>
            </w:r>
          </w:p>
          <w:p>
            <w:pPr>
              <w:jc w:val="center"/>
            </w:pPr>
            <w: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全年</w:t>
            </w:r>
          </w:p>
          <w:p>
            <w:pPr>
              <w:jc w:val="center"/>
            </w:pPr>
            <w: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r>
              <w:t>年度资金总额</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lang w:val="en-US"/>
              </w:rPr>
            </w:pPr>
            <w:r>
              <w:rPr>
                <w:rFonts w:hint="eastAsia" w:asciiTheme="minorEastAsia" w:hAnsiTheme="minorEastAsia" w:eastAsiaTheme="minorEastAsia" w:cstheme="minorEastAsia"/>
                <w:sz w:val="24"/>
                <w:lang w:val="en-US" w:eastAsia="zh-CN"/>
              </w:rPr>
              <w:t>284.53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lang w:val="en-US"/>
              </w:rPr>
            </w:pPr>
            <w:r>
              <w:rPr>
                <w:rFonts w:hint="eastAsia" w:asciiTheme="minorEastAsia" w:hAnsiTheme="minorEastAsia" w:eastAsiaTheme="minorEastAsia" w:cstheme="minorEastAsia"/>
                <w:sz w:val="24"/>
                <w:lang w:val="en-US" w:eastAsia="zh-CN"/>
              </w:rPr>
              <w:t>284.53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lang w:val="en-US"/>
              </w:rPr>
            </w:pPr>
            <w:r>
              <w:rPr>
                <w:rFonts w:hint="eastAsia" w:asciiTheme="minorEastAsia" w:hAnsiTheme="minorEastAsia" w:eastAsiaTheme="minorEastAsia" w:cstheme="minorEastAsia"/>
                <w:sz w:val="24"/>
                <w:lang w:val="en-US" w:eastAsia="zh-CN"/>
              </w:rPr>
              <w:t>284.53</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r>
              <w:t>其中：当年财政拨款</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lang w:val="en-US"/>
              </w:rPr>
            </w:pPr>
            <w:r>
              <w:rPr>
                <w:rFonts w:hint="eastAsia" w:asciiTheme="minorEastAsia" w:hAnsiTheme="minorEastAsia" w:eastAsiaTheme="minorEastAsia" w:cstheme="minorEastAsia"/>
                <w:sz w:val="24"/>
                <w:lang w:val="en-US" w:eastAsia="zh-CN"/>
              </w:rPr>
              <w:t>284.53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lang w:val="en-US"/>
              </w:rPr>
            </w:pPr>
            <w:r>
              <w:rPr>
                <w:rFonts w:hint="eastAsia" w:asciiTheme="minorEastAsia" w:hAnsiTheme="minorEastAsia" w:eastAsiaTheme="minorEastAsia" w:cstheme="minorEastAsia"/>
                <w:sz w:val="24"/>
                <w:lang w:val="en-US" w:eastAsia="zh-CN"/>
              </w:rPr>
              <w:t>284.53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pPr>
            <w: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pPr>
            <w: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pPr>
            <w: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pPr>
            <w:r>
              <w:t>实际完成情况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heme="minorEastAsia" w:hAnsiTheme="minorEastAsia" w:eastAsiaTheme="minorEastAsia" w:cstheme="minorEastAsia"/>
                <w:sz w:val="24"/>
              </w:rPr>
            </w:pPr>
            <w:r>
              <w:rPr>
                <w:rFonts w:hint="eastAsia"/>
              </w:rPr>
              <w:t>按照养殖业有关法律法规和方针政策的要求，为全县畜牧业、渔业发展和资源保护提供技术支撑和服务保障。</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asciiTheme="minorEastAsia" w:hAnsiTheme="minorEastAsia" w:eastAsiaTheme="minorEastAsia" w:cstheme="minorEastAsia"/>
                <w:sz w:val="24"/>
              </w:rPr>
            </w:pPr>
            <w:r>
              <w:rPr>
                <w:kern w:val="0"/>
              </w:rPr>
              <w:t>已完成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pPr>
            <w:r>
              <w:t>绩</w:t>
            </w:r>
          </w:p>
          <w:p>
            <w:pPr>
              <w:jc w:val="center"/>
            </w:pPr>
            <w:r>
              <w:t>效</w:t>
            </w:r>
          </w:p>
          <w:p>
            <w:pPr>
              <w:jc w:val="center"/>
            </w:pPr>
            <w:r>
              <w:t>指</w:t>
            </w:r>
          </w:p>
          <w:p>
            <w:pPr>
              <w:jc w:val="center"/>
            </w:pPr>
            <w: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年度</w:t>
            </w:r>
          </w:p>
          <w:p>
            <w:pPr>
              <w:jc w:val="center"/>
            </w:pPr>
            <w: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实际</w:t>
            </w:r>
          </w:p>
          <w:p>
            <w:pPr>
              <w:jc w:val="center"/>
            </w:pPr>
            <w: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r>
              <w:t>偏差原因</w:t>
            </w:r>
          </w:p>
          <w:p>
            <w:pPr>
              <w:jc w:val="center"/>
            </w:pPr>
            <w:r>
              <w:t>分析及</w:t>
            </w:r>
          </w:p>
          <w:p>
            <w:pPr>
              <w:jc w:val="center"/>
            </w:pPr>
            <w: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kern w:val="0"/>
              </w:rPr>
            </w:pPr>
            <w:r>
              <w:rPr>
                <w:kern w:val="0"/>
              </w:rPr>
              <w:t>成本指标</w:t>
            </w:r>
          </w:p>
          <w:p>
            <w:pPr>
              <w:jc w:val="center"/>
              <w:rPr>
                <w:kern w:val="0"/>
              </w:rPr>
            </w:pPr>
            <w:r>
              <w:rPr>
                <w:kern w:val="0"/>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kern w:val="0"/>
              </w:rPr>
            </w:pPr>
            <w:r>
              <w:rPr>
                <w:kern w:val="0"/>
              </w:rPr>
              <w:t>经济成</w:t>
            </w:r>
          </w:p>
          <w:p>
            <w:pPr>
              <w:jc w:val="center"/>
            </w:pPr>
            <w:r>
              <w:rPr>
                <w:kern w:val="0"/>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kern w:val="0"/>
              </w:rPr>
            </w:pPr>
            <w:r>
              <w:rPr>
                <w:kern w:val="0"/>
              </w:rPr>
              <w:t>一般性支出压减率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1"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kern w:val="0"/>
              </w:rPr>
            </w:pPr>
            <w:r>
              <w:rPr>
                <w:kern w:val="0"/>
              </w:rPr>
              <w:t>社会成</w:t>
            </w:r>
          </w:p>
          <w:p>
            <w:pPr>
              <w:jc w:val="center"/>
            </w:pPr>
            <w:r>
              <w:rPr>
                <w:kern w:val="0"/>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heme="minorEastAsia" w:hAnsiTheme="minorEastAsia" w:eastAsiaTheme="minorEastAsia" w:cstheme="minorEastAsia"/>
                <w:sz w:val="24"/>
              </w:rPr>
            </w:pPr>
            <w:r>
              <w:rPr>
                <w:kern w:val="0"/>
              </w:rPr>
              <w:t>社会发展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kern w:val="0"/>
              </w:rPr>
            </w:pPr>
            <w:r>
              <w:rPr>
                <w:kern w:val="0"/>
              </w:rPr>
              <w:t>生态环境</w:t>
            </w:r>
          </w:p>
          <w:p>
            <w:pPr>
              <w:jc w:val="center"/>
            </w:pPr>
            <w:r>
              <w:rPr>
                <w:kern w:val="0"/>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heme="minorEastAsia" w:hAnsiTheme="minorEastAsia" w:eastAsiaTheme="minorEastAsia" w:cstheme="minorEastAsia"/>
                <w:sz w:val="24"/>
              </w:rPr>
            </w:pPr>
            <w:r>
              <w:rPr>
                <w:kern w:val="0"/>
              </w:rPr>
              <w:t>生态环境普及全民参与</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kern w:val="0"/>
              </w:rPr>
            </w:pPr>
            <w:r>
              <w:rPr>
                <w:kern w:val="0"/>
              </w:rPr>
              <w:t>产出指标</w:t>
            </w:r>
          </w:p>
          <w:p>
            <w:pPr>
              <w:jc w:val="center"/>
              <w:rPr>
                <w:kern w:val="0"/>
              </w:rPr>
            </w:pPr>
            <w:r>
              <w:rPr>
                <w:kern w:val="0"/>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kern w:val="0"/>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heme="minorEastAsia" w:hAnsiTheme="minorEastAsia" w:eastAsiaTheme="minorEastAsia" w:cstheme="minorEastAsia"/>
                <w:sz w:val="24"/>
              </w:rPr>
            </w:pPr>
            <w:r>
              <w:rPr>
                <w:kern w:val="0"/>
              </w:rPr>
              <w:t>年初预算完成100%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kern w:val="0"/>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heme="minorEastAsia" w:hAnsiTheme="minorEastAsia" w:eastAsiaTheme="minorEastAsia" w:cstheme="minorEastAsia"/>
                <w:sz w:val="24"/>
              </w:rPr>
            </w:pPr>
            <w:r>
              <w:rPr>
                <w:kern w:val="0"/>
              </w:rPr>
              <w:t>资金使用合格率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rPr>
                <w:kern w:val="0"/>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heme="minorEastAsia" w:hAnsiTheme="minorEastAsia" w:eastAsiaTheme="minorEastAsia" w:cstheme="minorEastAsia"/>
                <w:sz w:val="24"/>
              </w:rPr>
            </w:pPr>
            <w:r>
              <w:rPr>
                <w:kern w:val="0"/>
              </w:rPr>
              <w:t>全年完成各项任务</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kern w:val="0"/>
              </w:rPr>
            </w:pPr>
            <w:r>
              <w:rPr>
                <w:kern w:val="0"/>
              </w:rPr>
              <w:t>效益指标</w:t>
            </w:r>
          </w:p>
          <w:p>
            <w:pPr>
              <w:jc w:val="center"/>
              <w:rPr>
                <w:kern w:val="0"/>
              </w:rPr>
            </w:pPr>
            <w:r>
              <w:rPr>
                <w:kern w:val="0"/>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kern w:val="0"/>
              </w:rPr>
            </w:pPr>
            <w:r>
              <w:rPr>
                <w:kern w:val="0"/>
              </w:rPr>
              <w:t>经济效</w:t>
            </w:r>
          </w:p>
          <w:p>
            <w:pPr>
              <w:jc w:val="center"/>
            </w:pPr>
            <w:r>
              <w:rPr>
                <w:kern w:val="0"/>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heme="minorEastAsia" w:hAnsiTheme="minorEastAsia" w:eastAsiaTheme="minorEastAsia" w:cstheme="minorEastAsia"/>
                <w:sz w:val="24"/>
              </w:rPr>
            </w:pPr>
            <w:r>
              <w:rPr>
                <w:kern w:val="0"/>
              </w:rPr>
              <w:t>开展节能减排</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kern w:val="0"/>
              </w:rPr>
            </w:pPr>
            <w:r>
              <w:rPr>
                <w:kern w:val="0"/>
              </w:rPr>
              <w:t>生态效</w:t>
            </w:r>
          </w:p>
          <w:p>
            <w:pPr>
              <w:jc w:val="center"/>
            </w:pPr>
            <w:r>
              <w:rPr>
                <w:kern w:val="0"/>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heme="minorEastAsia" w:hAnsiTheme="minorEastAsia" w:eastAsiaTheme="minorEastAsia" w:cstheme="minorEastAsia"/>
                <w:sz w:val="24"/>
              </w:rPr>
            </w:pPr>
            <w:r>
              <w:rPr>
                <w:kern w:val="0"/>
              </w:rPr>
              <w:t>生态环境普及全民参与</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4</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kern w:val="0"/>
              </w:rPr>
            </w:pPr>
            <w:r>
              <w:rPr>
                <w:kern w:val="0"/>
              </w:rPr>
              <w:t>社会效</w:t>
            </w:r>
          </w:p>
          <w:p>
            <w:pPr>
              <w:jc w:val="center"/>
            </w:pPr>
            <w:r>
              <w:rPr>
                <w:kern w:val="0"/>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heme="minorEastAsia" w:hAnsiTheme="minorEastAsia" w:eastAsiaTheme="minorEastAsia" w:cstheme="minorEastAsia"/>
                <w:sz w:val="24"/>
              </w:rPr>
            </w:pPr>
            <w:r>
              <w:rPr>
                <w:kern w:val="0"/>
              </w:rPr>
              <w:t>社会发展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4</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满意度</w:t>
            </w:r>
          </w:p>
          <w:p>
            <w:pPr>
              <w:jc w:val="center"/>
            </w:pPr>
            <w:r>
              <w:t>指标</w:t>
            </w:r>
          </w:p>
          <w:p>
            <w:pPr>
              <w:jc w:val="center"/>
            </w:pPr>
            <w: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Theme="minorEastAsia" w:hAnsiTheme="minorEastAsia" w:eastAsiaTheme="minorEastAsia" w:cstheme="minorEastAsia"/>
                <w:sz w:val="24"/>
              </w:rPr>
            </w:pPr>
            <w:r>
              <w:rPr>
                <w:kern w:val="0"/>
              </w:rPr>
              <w:t>群众的满意度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pPr>
            <w: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jc w:val="center"/>
            </w:pPr>
            <w: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jc w:val="center"/>
            </w:pPr>
            <w: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jc w:val="center"/>
            </w:pPr>
            <w:r>
              <w:t>98</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jc w:val="center"/>
            </w:pPr>
          </w:p>
        </w:tc>
      </w:tr>
    </w:tbl>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备注：每个项目支出分别填报自评报告和自评表。</w:t>
      </w:r>
    </w:p>
    <w:p>
      <w:pPr>
        <w:rPr>
          <w:rFonts w:hint="eastAsia" w:ascii="仿宋_GB2312" w:hAnsi="仿宋_GB2312" w:eastAsia="仿宋_GB2312" w:cs="仿宋_GB2312"/>
          <w:sz w:val="24"/>
          <w:szCs w:val="24"/>
          <w:lang w:eastAsia="zh-CN"/>
        </w:rPr>
        <w:sectPr>
          <w:footerReference r:id="rId5" w:type="default"/>
          <w:footerReference r:id="rId6" w:type="even"/>
          <w:pgSz w:w="11905" w:h="16837"/>
          <w:pgMar w:top="1440" w:right="1701" w:bottom="1440" w:left="1701" w:header="851" w:footer="1474" w:gutter="0"/>
          <w:pgNumType w:fmt="numberInDash" w:start="1"/>
          <w:cols w:space="0" w:num="1"/>
          <w:docGrid w:type="lines" w:linePitch="636" w:charSpace="0"/>
        </w:sectPr>
      </w:pPr>
      <w:r>
        <w:rPr>
          <w:rFonts w:hint="eastAsia" w:ascii="仿宋_GB2312" w:hAnsi="仿宋_GB2312" w:eastAsia="仿宋_GB2312" w:cs="仿宋_GB2312"/>
          <w:sz w:val="24"/>
          <w:szCs w:val="24"/>
        </w:rPr>
        <w:t>填表人：</w:t>
      </w:r>
      <w:r>
        <w:rPr>
          <w:rFonts w:hint="eastAsia" w:ascii="仿宋_GB2312" w:hAnsi="仿宋_GB2312" w:eastAsia="仿宋_GB2312" w:cs="仿宋_GB2312"/>
          <w:sz w:val="24"/>
          <w:szCs w:val="24"/>
          <w:lang w:eastAsia="zh-CN"/>
        </w:rPr>
        <w:t>任壹楠</w:t>
      </w:r>
      <w:r>
        <w:rPr>
          <w:rFonts w:hint="eastAsia" w:ascii="仿宋_GB2312" w:hAnsi="仿宋_GB2312" w:eastAsia="仿宋_GB2312" w:cs="仿宋_GB2312"/>
          <w:sz w:val="24"/>
          <w:szCs w:val="24"/>
        </w:rPr>
        <w:t xml:space="preserve"> 填报日期：202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 xml:space="preserve"> 联系电话：</w:t>
      </w:r>
      <w:r>
        <w:rPr>
          <w:rFonts w:hint="eastAsia" w:ascii="仿宋_GB2312" w:hAnsi="仿宋_GB2312" w:eastAsia="仿宋_GB2312" w:cs="仿宋_GB2312"/>
          <w:sz w:val="24"/>
          <w:szCs w:val="24"/>
          <w:lang w:val="en-US" w:eastAsia="zh-CN"/>
        </w:rPr>
        <w:t xml:space="preserve">7722325 </w:t>
      </w:r>
      <w:r>
        <w:rPr>
          <w:rFonts w:hint="eastAsia" w:ascii="仿宋_GB2312" w:hAnsi="仿宋_GB2312" w:eastAsia="仿宋_GB2312" w:cs="仿宋_GB2312"/>
          <w:sz w:val="24"/>
          <w:szCs w:val="24"/>
        </w:rPr>
        <w:t>单位负责人签字：</w:t>
      </w:r>
    </w:p>
    <w:p>
      <w:bookmarkStart w:id="1" w:name="_GoBack"/>
      <w:bookmarkEnd w:id="1"/>
    </w:p>
    <w:sectPr>
      <w:pgSz w:w="12240" w:h="15840"/>
      <w:pgMar w:top="1440" w:right="1800" w:bottom="1440" w:left="1800"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pPr>
                  <w:pStyle w:val="6"/>
                </w:pPr>
                <w:r>
                  <w:fldChar w:fldCharType="begin"/>
                </w:r>
                <w:r>
                  <w:instrText xml:space="preserve"> PAGE  \* MERGEFORMAT </w:instrText>
                </w:r>
                <w:r>
                  <w:fldChar w:fldCharType="separate"/>
                </w:r>
                <w:r>
                  <w:t>- 13 -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pPr>
                  <w:pStyle w:val="6"/>
                </w:pPr>
                <w:r>
                  <w:fldChar w:fldCharType="begin"/>
                </w:r>
                <w:r>
                  <w:instrText xml:space="preserve"> PAGE  \* MERGEFORMAT </w:instrText>
                </w:r>
                <w:r>
                  <w:fldChar w:fldCharType="separate"/>
                </w:r>
                <w:r>
                  <w:t>- 12 -</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BFBC2"/>
    <w:multiLevelType w:val="singleLevel"/>
    <w:tmpl w:val="1CDBFBC2"/>
    <w:lvl w:ilvl="0" w:tentative="0">
      <w:start w:val="1"/>
      <w:numFmt w:val="chineseCounting"/>
      <w:suff w:val="nothing"/>
      <w:lvlText w:val="（%1）"/>
      <w:lvlJc w:val="left"/>
      <w:rPr>
        <w:rFonts w:hint="eastAsia" w:ascii="方正楷体_GBK" w:hAnsi="方正楷体_GBK" w:eastAsia="方正楷体_GBK" w:cs="方正楷体_GBK"/>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VjMDE0MDEyYjlmNThiZWUxNmEwMGViZTg3MmYwMTMifQ=="/>
  </w:docVars>
  <w:rsids>
    <w:rsidRoot w:val="00172A27"/>
    <w:rsid w:val="00006AB6"/>
    <w:rsid w:val="00010B87"/>
    <w:rsid w:val="0001583B"/>
    <w:rsid w:val="000500EB"/>
    <w:rsid w:val="000662D4"/>
    <w:rsid w:val="00067DDF"/>
    <w:rsid w:val="00081C94"/>
    <w:rsid w:val="00090227"/>
    <w:rsid w:val="000904AB"/>
    <w:rsid w:val="00097225"/>
    <w:rsid w:val="000D3E1B"/>
    <w:rsid w:val="000D5227"/>
    <w:rsid w:val="000E75A9"/>
    <w:rsid w:val="000F04D9"/>
    <w:rsid w:val="001042A4"/>
    <w:rsid w:val="00121AFD"/>
    <w:rsid w:val="0012708A"/>
    <w:rsid w:val="00145EF7"/>
    <w:rsid w:val="00172A27"/>
    <w:rsid w:val="00182DC6"/>
    <w:rsid w:val="001830D2"/>
    <w:rsid w:val="001978CF"/>
    <w:rsid w:val="001A193C"/>
    <w:rsid w:val="001A1BD1"/>
    <w:rsid w:val="001B23FD"/>
    <w:rsid w:val="002145C3"/>
    <w:rsid w:val="00230134"/>
    <w:rsid w:val="00231365"/>
    <w:rsid w:val="00251D66"/>
    <w:rsid w:val="00254292"/>
    <w:rsid w:val="002C38F8"/>
    <w:rsid w:val="002F4295"/>
    <w:rsid w:val="002F7359"/>
    <w:rsid w:val="00363B78"/>
    <w:rsid w:val="003A15DD"/>
    <w:rsid w:val="003A7308"/>
    <w:rsid w:val="003B1898"/>
    <w:rsid w:val="003E7944"/>
    <w:rsid w:val="00406DF6"/>
    <w:rsid w:val="00410D85"/>
    <w:rsid w:val="00421955"/>
    <w:rsid w:val="0044244F"/>
    <w:rsid w:val="004502F3"/>
    <w:rsid w:val="004C76F7"/>
    <w:rsid w:val="004D73FF"/>
    <w:rsid w:val="00505966"/>
    <w:rsid w:val="00512456"/>
    <w:rsid w:val="00512AF2"/>
    <w:rsid w:val="00513766"/>
    <w:rsid w:val="005153DC"/>
    <w:rsid w:val="005206D5"/>
    <w:rsid w:val="00551FAF"/>
    <w:rsid w:val="00592525"/>
    <w:rsid w:val="005B2355"/>
    <w:rsid w:val="005B3847"/>
    <w:rsid w:val="005F43E5"/>
    <w:rsid w:val="006011D6"/>
    <w:rsid w:val="006377AC"/>
    <w:rsid w:val="00644DFA"/>
    <w:rsid w:val="00683D7A"/>
    <w:rsid w:val="006854FF"/>
    <w:rsid w:val="0069643B"/>
    <w:rsid w:val="006A3C29"/>
    <w:rsid w:val="006A7CD8"/>
    <w:rsid w:val="006B63CC"/>
    <w:rsid w:val="00706537"/>
    <w:rsid w:val="007126B1"/>
    <w:rsid w:val="007302C9"/>
    <w:rsid w:val="007350E0"/>
    <w:rsid w:val="0075455B"/>
    <w:rsid w:val="00772041"/>
    <w:rsid w:val="00794389"/>
    <w:rsid w:val="007C25DE"/>
    <w:rsid w:val="007E0177"/>
    <w:rsid w:val="008119EC"/>
    <w:rsid w:val="008127A7"/>
    <w:rsid w:val="00827D18"/>
    <w:rsid w:val="00867554"/>
    <w:rsid w:val="008A1922"/>
    <w:rsid w:val="008B13F8"/>
    <w:rsid w:val="008C288E"/>
    <w:rsid w:val="0090419E"/>
    <w:rsid w:val="00920022"/>
    <w:rsid w:val="00932A3B"/>
    <w:rsid w:val="00946CC2"/>
    <w:rsid w:val="00946EC8"/>
    <w:rsid w:val="009772BE"/>
    <w:rsid w:val="00983B82"/>
    <w:rsid w:val="009A46DC"/>
    <w:rsid w:val="009B7F8F"/>
    <w:rsid w:val="009E03DB"/>
    <w:rsid w:val="00A04A87"/>
    <w:rsid w:val="00A2019D"/>
    <w:rsid w:val="00A5241C"/>
    <w:rsid w:val="00A71311"/>
    <w:rsid w:val="00A84B6B"/>
    <w:rsid w:val="00A859A7"/>
    <w:rsid w:val="00AD245C"/>
    <w:rsid w:val="00AE45E9"/>
    <w:rsid w:val="00B116BE"/>
    <w:rsid w:val="00B25630"/>
    <w:rsid w:val="00B60B41"/>
    <w:rsid w:val="00B77A8C"/>
    <w:rsid w:val="00BA4EDE"/>
    <w:rsid w:val="00BC6F36"/>
    <w:rsid w:val="00BD4C9B"/>
    <w:rsid w:val="00BD663F"/>
    <w:rsid w:val="00BE557D"/>
    <w:rsid w:val="00C169B3"/>
    <w:rsid w:val="00C314B1"/>
    <w:rsid w:val="00C46903"/>
    <w:rsid w:val="00C64AFC"/>
    <w:rsid w:val="00C7647E"/>
    <w:rsid w:val="00C80F6D"/>
    <w:rsid w:val="00C952F9"/>
    <w:rsid w:val="00CB1E87"/>
    <w:rsid w:val="00D171C5"/>
    <w:rsid w:val="00D461CD"/>
    <w:rsid w:val="00D518BF"/>
    <w:rsid w:val="00D526F9"/>
    <w:rsid w:val="00D8035E"/>
    <w:rsid w:val="00D82C23"/>
    <w:rsid w:val="00D968E8"/>
    <w:rsid w:val="00DA032F"/>
    <w:rsid w:val="00DB1FD0"/>
    <w:rsid w:val="00DB66B0"/>
    <w:rsid w:val="00DB67F3"/>
    <w:rsid w:val="00DC6314"/>
    <w:rsid w:val="00E03211"/>
    <w:rsid w:val="00E17657"/>
    <w:rsid w:val="00E246ED"/>
    <w:rsid w:val="00E2569F"/>
    <w:rsid w:val="00E415FA"/>
    <w:rsid w:val="00E62600"/>
    <w:rsid w:val="00E637E2"/>
    <w:rsid w:val="00EA089B"/>
    <w:rsid w:val="00EB6037"/>
    <w:rsid w:val="00F016C4"/>
    <w:rsid w:val="00F140DE"/>
    <w:rsid w:val="00F208E3"/>
    <w:rsid w:val="00F43A8F"/>
    <w:rsid w:val="00F56653"/>
    <w:rsid w:val="00F56FBB"/>
    <w:rsid w:val="00F816A7"/>
    <w:rsid w:val="00F821FE"/>
    <w:rsid w:val="00F83BDB"/>
    <w:rsid w:val="00FB44E2"/>
    <w:rsid w:val="00FC4ACB"/>
    <w:rsid w:val="00FE191E"/>
    <w:rsid w:val="00FF4B5D"/>
    <w:rsid w:val="018C4FFF"/>
    <w:rsid w:val="02A62291"/>
    <w:rsid w:val="02AD7AC3"/>
    <w:rsid w:val="05E5434B"/>
    <w:rsid w:val="06DB3B46"/>
    <w:rsid w:val="083245C7"/>
    <w:rsid w:val="09EA308B"/>
    <w:rsid w:val="0A3D797F"/>
    <w:rsid w:val="0B57681E"/>
    <w:rsid w:val="0BAB05EF"/>
    <w:rsid w:val="0CCE5073"/>
    <w:rsid w:val="0D4423F3"/>
    <w:rsid w:val="0DA632F7"/>
    <w:rsid w:val="0EAC48B5"/>
    <w:rsid w:val="0FEF5833"/>
    <w:rsid w:val="101F3C57"/>
    <w:rsid w:val="102731B6"/>
    <w:rsid w:val="105E064F"/>
    <w:rsid w:val="1069219C"/>
    <w:rsid w:val="110416CA"/>
    <w:rsid w:val="14B66A57"/>
    <w:rsid w:val="154B3473"/>
    <w:rsid w:val="15B02F86"/>
    <w:rsid w:val="18510B14"/>
    <w:rsid w:val="1BCE59A7"/>
    <w:rsid w:val="1D5E5630"/>
    <w:rsid w:val="1E2E6B38"/>
    <w:rsid w:val="1EBE78CB"/>
    <w:rsid w:val="1F9C1D8C"/>
    <w:rsid w:val="20BA3D5C"/>
    <w:rsid w:val="20FE29CD"/>
    <w:rsid w:val="213827F6"/>
    <w:rsid w:val="24756501"/>
    <w:rsid w:val="25050C41"/>
    <w:rsid w:val="25CE1DB0"/>
    <w:rsid w:val="273B3040"/>
    <w:rsid w:val="2A422E24"/>
    <w:rsid w:val="2AF82401"/>
    <w:rsid w:val="2B6528F3"/>
    <w:rsid w:val="2BD27A86"/>
    <w:rsid w:val="2DC44213"/>
    <w:rsid w:val="2E9A0902"/>
    <w:rsid w:val="302B0E8F"/>
    <w:rsid w:val="31EF3498"/>
    <w:rsid w:val="33457B5A"/>
    <w:rsid w:val="33EA0D37"/>
    <w:rsid w:val="34147713"/>
    <w:rsid w:val="34C6524B"/>
    <w:rsid w:val="35ED20AA"/>
    <w:rsid w:val="37F25C81"/>
    <w:rsid w:val="380D46F1"/>
    <w:rsid w:val="392549AD"/>
    <w:rsid w:val="39E62997"/>
    <w:rsid w:val="3AAC60F2"/>
    <w:rsid w:val="3B181276"/>
    <w:rsid w:val="3B7364AD"/>
    <w:rsid w:val="3DFB432B"/>
    <w:rsid w:val="3E931162"/>
    <w:rsid w:val="408F3F4F"/>
    <w:rsid w:val="40987B9A"/>
    <w:rsid w:val="40B07061"/>
    <w:rsid w:val="41A60F90"/>
    <w:rsid w:val="41B25752"/>
    <w:rsid w:val="437042B4"/>
    <w:rsid w:val="43D25C86"/>
    <w:rsid w:val="47EE3252"/>
    <w:rsid w:val="47FF7E2A"/>
    <w:rsid w:val="484C6A03"/>
    <w:rsid w:val="491A61E0"/>
    <w:rsid w:val="4A7E5437"/>
    <w:rsid w:val="4B116F7F"/>
    <w:rsid w:val="4B3C6AD5"/>
    <w:rsid w:val="4B490F32"/>
    <w:rsid w:val="4B564457"/>
    <w:rsid w:val="4C4A325A"/>
    <w:rsid w:val="4C575977"/>
    <w:rsid w:val="4CD11DB7"/>
    <w:rsid w:val="4CEB6A82"/>
    <w:rsid w:val="4DEE60F7"/>
    <w:rsid w:val="4DF30F3A"/>
    <w:rsid w:val="4E8B7C40"/>
    <w:rsid w:val="4F1637A4"/>
    <w:rsid w:val="500F1BD2"/>
    <w:rsid w:val="50F56EE8"/>
    <w:rsid w:val="512E0763"/>
    <w:rsid w:val="516E10EF"/>
    <w:rsid w:val="51C40746"/>
    <w:rsid w:val="53537FC2"/>
    <w:rsid w:val="53777B4F"/>
    <w:rsid w:val="537D5CC3"/>
    <w:rsid w:val="543E6CC0"/>
    <w:rsid w:val="551606C1"/>
    <w:rsid w:val="55412274"/>
    <w:rsid w:val="55C03679"/>
    <w:rsid w:val="57544F8D"/>
    <w:rsid w:val="57C446E9"/>
    <w:rsid w:val="58820FB8"/>
    <w:rsid w:val="58883F2F"/>
    <w:rsid w:val="5A170014"/>
    <w:rsid w:val="5ABA52A9"/>
    <w:rsid w:val="5B022F52"/>
    <w:rsid w:val="5C5F24EA"/>
    <w:rsid w:val="5C8E01AF"/>
    <w:rsid w:val="5DB073BD"/>
    <w:rsid w:val="5E8E0CDC"/>
    <w:rsid w:val="5EF51880"/>
    <w:rsid w:val="62177DBC"/>
    <w:rsid w:val="62BE6D8B"/>
    <w:rsid w:val="62D32611"/>
    <w:rsid w:val="63421953"/>
    <w:rsid w:val="63442040"/>
    <w:rsid w:val="64E742EF"/>
    <w:rsid w:val="65366619"/>
    <w:rsid w:val="668B029F"/>
    <w:rsid w:val="677D5E3A"/>
    <w:rsid w:val="678A69D4"/>
    <w:rsid w:val="681D7251"/>
    <w:rsid w:val="684B0AD7"/>
    <w:rsid w:val="69DB32EB"/>
    <w:rsid w:val="6E351362"/>
    <w:rsid w:val="6E445575"/>
    <w:rsid w:val="6F9F6FB0"/>
    <w:rsid w:val="70381498"/>
    <w:rsid w:val="72AB65E2"/>
    <w:rsid w:val="72DD2E69"/>
    <w:rsid w:val="745E47FA"/>
    <w:rsid w:val="75073918"/>
    <w:rsid w:val="75E53009"/>
    <w:rsid w:val="764A6946"/>
    <w:rsid w:val="771A18F7"/>
    <w:rsid w:val="776A483A"/>
    <w:rsid w:val="79773031"/>
    <w:rsid w:val="79C0601E"/>
    <w:rsid w:val="7C584C3B"/>
    <w:rsid w:val="7C705B15"/>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line="560" w:lineRule="exact"/>
    </w:pPr>
    <w:rPr>
      <w:rFonts w:ascii="黑体" w:hAnsi="黑体" w:eastAsia="黑体" w:cstheme="minorBidi"/>
      <w:bCs/>
      <w:color w:val="000000"/>
      <w:kern w:val="2"/>
      <w:sz w:val="21"/>
      <w:szCs w:val="24"/>
      <w:u w:val="single" w:color="FFFFFF"/>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pPr>
    <w:rPr>
      <w:rFonts w:ascii="宋体" w:hAnsi="宋体" w:cs="宋体"/>
      <w:kern w:val="0"/>
      <w:sz w:val="24"/>
    </w:rPr>
  </w:style>
  <w:style w:type="paragraph" w:styleId="3">
    <w:name w:val="Body Text First Indent"/>
    <w:basedOn w:val="2"/>
    <w:unhideWhenUsed/>
    <w:qFormat/>
    <w:uiPriority w:val="0"/>
    <w:pPr>
      <w:spacing w:beforeLines="0" w:afterLines="0"/>
      <w:ind w:firstLine="420" w:firstLineChars="100"/>
    </w:pPr>
    <w:rPr>
      <w:rFonts w:hint="default"/>
      <w:sz w:val="21"/>
      <w:szCs w:val="24"/>
    </w:rPr>
  </w:style>
  <w:style w:type="paragraph" w:styleId="4">
    <w:name w:val="Body Text Indent"/>
    <w:basedOn w:val="1"/>
    <w:qFormat/>
    <w:uiPriority w:val="0"/>
    <w:pPr>
      <w:spacing w:after="120"/>
      <w:ind w:left="420" w:leftChars="200"/>
    </w:pPr>
  </w:style>
  <w:style w:type="paragraph" w:styleId="5">
    <w:name w:val="Balloon Text"/>
    <w:basedOn w:val="1"/>
    <w:semiHidden/>
    <w:qFormat/>
    <w:uiPriority w:val="0"/>
    <w:rPr>
      <w:sz w:val="18"/>
      <w:szCs w:val="18"/>
    </w:rPr>
  </w:style>
  <w:style w:type="paragraph" w:styleId="6">
    <w:name w:val="footer"/>
    <w:basedOn w:val="1"/>
    <w:unhideWhenUsed/>
    <w:qFormat/>
    <w:uiPriority w:val="0"/>
    <w:pPr>
      <w:framePr w:wrap="around" w:vAnchor="text" w:hAnchor="margin" w:xAlign="outside" w:y="1"/>
      <w:tabs>
        <w:tab w:val="center" w:pos="4153"/>
        <w:tab w:val="right" w:pos="8306"/>
      </w:tabs>
      <w:snapToGrid w:val="0"/>
    </w:pPr>
    <w:rPr>
      <w:kern w:val="0"/>
      <w:sz w:val="28"/>
    </w:rPr>
  </w:style>
  <w:style w:type="paragraph" w:styleId="7">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0"/>
    <w:pPr>
      <w:spacing w:beforeAutospacing="1" w:afterAutospacing="1"/>
    </w:pPr>
    <w:rPr>
      <w:rFonts w:ascii="Calibri" w:hAnsi="Calibri" w:eastAsia="宋体"/>
      <w:kern w:val="0"/>
      <w:sz w:val="24"/>
    </w:rPr>
  </w:style>
  <w:style w:type="paragraph" w:styleId="9">
    <w:name w:val="Body Text First Indent 2"/>
    <w:basedOn w:val="4"/>
    <w:qFormat/>
    <w:uiPriority w:val="0"/>
    <w:pPr>
      <w:spacing w:before="100" w:beforeAutospacing="1"/>
      <w:ind w:left="0" w:firstLine="420" w:firstLineChars="200"/>
    </w:pPr>
  </w:style>
  <w:style w:type="paragraph" w:customStyle="1" w:styleId="12">
    <w:name w:val="列出段落1"/>
    <w:basedOn w:val="1"/>
    <w:unhideWhenUsed/>
    <w:qFormat/>
    <w:uiPriority w:val="34"/>
    <w:pPr>
      <w:ind w:firstLine="420" w:firstLineChars="200"/>
    </w:pPr>
    <w:rPr>
      <w:rFonts w:ascii="仿宋" w:hAnsi="仿宋" w:eastAsia="仿宋"/>
      <w:kern w:val="0"/>
      <w:sz w:val="28"/>
    </w:rPr>
  </w:style>
  <w:style w:type="paragraph" w:styleId="13">
    <w:name w:val="List Paragraph"/>
    <w:basedOn w:val="1"/>
    <w:unhideWhenUsed/>
    <w:qFormat/>
    <w:uiPriority w:val="99"/>
    <w:pPr>
      <w:ind w:firstLine="420" w:firstLineChars="200"/>
    </w:pPr>
    <w:rPr>
      <w:rFonts w:ascii="Calibri" w:hAnsi="Calibri"/>
      <w:kern w:val="0"/>
      <w:sz w:val="28"/>
    </w:rPr>
  </w:style>
  <w:style w:type="character" w:customStyle="1" w:styleId="14">
    <w:name w:val="ca-31"/>
    <w:basedOn w:val="11"/>
    <w:qFormat/>
    <w:uiPriority w:val="0"/>
    <w:rPr>
      <w:rFonts w:hint="eastAsia" w:ascii="仿宋_GB2312" w:eastAsia="仿宋_GB2312"/>
      <w:sz w:val="32"/>
      <w:szCs w:val="32"/>
    </w:rPr>
  </w:style>
  <w:style w:type="paragraph" w:customStyle="1" w:styleId="15">
    <w:name w:val="BodyText1I"/>
    <w:basedOn w:val="1"/>
    <w:qFormat/>
    <w:uiPriority w:val="99"/>
    <w:pPr>
      <w:snapToGrid w:val="0"/>
      <w:spacing w:line="360" w:lineRule="auto"/>
      <w:ind w:firstLine="420" w:firstLineChars="100"/>
      <w:jc w:val="both"/>
    </w:pPr>
    <w:rPr>
      <w:rFonts w:ascii="Times New Roman" w:hAnsi="Times New Roman" w:eastAsia="宋体" w:cs="Times New Roman"/>
      <w:bCs w:val="0"/>
      <w:color w:val="auto"/>
      <w:sz w:val="28"/>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5023</Words>
  <Characters>5675</Characters>
  <Lines>50</Lines>
  <Paragraphs>14</Paragraphs>
  <TotalTime>3</TotalTime>
  <ScaleCrop>false</ScaleCrop>
  <LinksUpToDate>false</LinksUpToDate>
  <CharactersWithSpaces>5716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dcterms:modified xsi:type="dcterms:W3CDTF">2025-09-16T11:50:17Z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C9F0904C20E74999B4D7959129BF1BBC_13</vt:lpwstr>
  </property>
  <property fmtid="{D5CDD505-2E9C-101B-9397-08002B2CF9AE}" pid="4" name="KSOTemplateDocerSaveRecord">
    <vt:lpwstr>eyJoZGlkIjoiYmVjMDE0MDEyYjlmNThiZWUxNmEwMGViZTg3MmYwMTMiLCJ1c2VySWQiOiIzODQ5MTIxNjcifQ==</vt:lpwstr>
  </property>
</Properties>
</file>