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sz w:val="48"/>
          <w:szCs w:val="48"/>
        </w:rPr>
      </w:pPr>
      <w:r>
        <w:rPr>
          <w:rFonts w:hint="eastAsia"/>
          <w:sz w:val="48"/>
          <w:szCs w:val="48"/>
        </w:rPr>
        <w:t>202</w:t>
      </w:r>
      <w:r>
        <w:rPr>
          <w:rFonts w:hint="eastAsia"/>
          <w:sz w:val="48"/>
          <w:szCs w:val="48"/>
          <w:lang w:val="en-US" w:eastAsia="zh-CN"/>
        </w:rPr>
        <w:t>4</w:t>
      </w:r>
      <w:r>
        <w:rPr>
          <w:rFonts w:hint="eastAsia"/>
          <w:sz w:val="48"/>
          <w:szCs w:val="48"/>
        </w:rPr>
        <w:t>年度县委统战部整体支出</w:t>
      </w:r>
    </w:p>
    <w:p>
      <w:pPr>
        <w:jc w:val="center"/>
        <w:rPr>
          <w:sz w:val="48"/>
          <w:szCs w:val="48"/>
        </w:rPr>
      </w:pPr>
      <w:r>
        <w:rPr>
          <w:rFonts w:hint="eastAsia"/>
          <w:sz w:val="48"/>
          <w:szCs w:val="48"/>
        </w:rPr>
        <w:t>绩效自评报告</w:t>
      </w:r>
    </w:p>
    <w:p>
      <w:pPr>
        <w:jc w:val="center"/>
        <w:rPr>
          <w:sz w:val="48"/>
          <w:szCs w:val="48"/>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eastAsia="黑体"/>
          <w:sz w:val="36"/>
          <w:szCs w:val="36"/>
        </w:rPr>
      </w:pPr>
      <w:r>
        <w:rPr>
          <w:rFonts w:ascii="黑体" w:hAnsi="黑体" w:eastAsia="黑体"/>
          <w:sz w:val="36"/>
          <w:szCs w:val="36"/>
        </w:rPr>
        <w:t>单位名称（盖章）：</w:t>
      </w:r>
      <w:r>
        <w:rPr>
          <w:rFonts w:hint="eastAsia" w:ascii="黑体" w:hAnsi="黑体" w:eastAsia="黑体"/>
          <w:sz w:val="36"/>
          <w:szCs w:val="36"/>
        </w:rPr>
        <w:t>中共双牌县委统一战线工作部</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numPr>
          <w:ilvl w:val="0"/>
          <w:numId w:val="1"/>
        </w:numPr>
        <w:spacing w:line="600" w:lineRule="exact"/>
        <w:ind w:firstLine="640" w:firstLineChars="200"/>
        <w:rPr>
          <w:rFonts w:ascii="黑体" w:hAnsi="黑体" w:eastAsia="黑体"/>
          <w:sz w:val="32"/>
          <w:szCs w:val="32"/>
        </w:rPr>
      </w:pPr>
      <w:r>
        <w:rPr>
          <w:rFonts w:ascii="黑体" w:hAnsi="黑体" w:eastAsia="黑体"/>
          <w:sz w:val="32"/>
          <w:szCs w:val="32"/>
        </w:rPr>
        <w:t>基本情况</w:t>
      </w:r>
    </w:p>
    <w:p>
      <w:pPr>
        <w:numPr>
          <w:ilvl w:val="0"/>
          <w:numId w:val="2"/>
        </w:num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部门（单位）基本情况</w:t>
      </w:r>
    </w:p>
    <w:p>
      <w:pPr>
        <w:widowControl/>
        <w:spacing w:line="600" w:lineRule="exact"/>
        <w:ind w:firstLine="627" w:firstLineChars="196"/>
        <w:rPr>
          <w:rFonts w:eastAsia="仿宋_GB2312"/>
          <w:sz w:val="32"/>
          <w:szCs w:val="32"/>
        </w:rPr>
      </w:pPr>
      <w:r>
        <w:rPr>
          <w:rFonts w:hint="eastAsia" w:eastAsia="仿宋_GB2312"/>
          <w:sz w:val="32"/>
          <w:szCs w:val="32"/>
        </w:rPr>
        <w:t>本单位共有编制</w:t>
      </w:r>
      <w:r>
        <w:rPr>
          <w:rFonts w:hint="eastAsia" w:eastAsia="仿宋_GB2312"/>
          <w:sz w:val="32"/>
          <w:szCs w:val="32"/>
          <w:lang w:val="en-US" w:eastAsia="zh-CN"/>
        </w:rPr>
        <w:t>10</w:t>
      </w:r>
      <w:r>
        <w:rPr>
          <w:rFonts w:hint="eastAsia" w:eastAsia="仿宋_GB2312"/>
          <w:sz w:val="32"/>
          <w:szCs w:val="32"/>
        </w:rPr>
        <w:t>人，其中：行政编制</w:t>
      </w:r>
      <w:r>
        <w:rPr>
          <w:rFonts w:hint="eastAsia" w:eastAsia="仿宋_GB2312"/>
          <w:sz w:val="32"/>
          <w:szCs w:val="32"/>
          <w:lang w:val="en-US" w:eastAsia="zh-CN"/>
        </w:rPr>
        <w:t>5</w:t>
      </w:r>
      <w:r>
        <w:rPr>
          <w:rFonts w:hint="eastAsia" w:eastAsia="仿宋_GB2312"/>
          <w:sz w:val="32"/>
          <w:szCs w:val="32"/>
        </w:rPr>
        <w:t>人，工勤编制1人，事业管理编制</w:t>
      </w:r>
      <w:r>
        <w:rPr>
          <w:rFonts w:hint="eastAsia" w:eastAsia="仿宋_GB2312"/>
          <w:sz w:val="32"/>
          <w:szCs w:val="32"/>
          <w:lang w:val="en-US" w:eastAsia="zh-CN"/>
        </w:rPr>
        <w:t>4</w:t>
      </w:r>
      <w:r>
        <w:rPr>
          <w:rFonts w:hint="eastAsia" w:eastAsia="仿宋_GB2312"/>
          <w:sz w:val="32"/>
          <w:szCs w:val="32"/>
        </w:rPr>
        <w:t>人；实有在职人员</w:t>
      </w:r>
      <w:r>
        <w:rPr>
          <w:rFonts w:hint="eastAsia" w:eastAsia="仿宋_GB2312"/>
          <w:sz w:val="32"/>
          <w:szCs w:val="32"/>
          <w:lang w:val="en-US" w:eastAsia="zh-CN"/>
        </w:rPr>
        <w:t>10</w:t>
      </w:r>
      <w:r>
        <w:rPr>
          <w:rFonts w:hint="eastAsia" w:eastAsia="仿宋_GB2312"/>
          <w:sz w:val="32"/>
          <w:szCs w:val="32"/>
        </w:rPr>
        <w:t>人，其中：行政人员</w:t>
      </w:r>
      <w:r>
        <w:rPr>
          <w:rFonts w:hint="eastAsia" w:eastAsia="仿宋_GB2312"/>
          <w:sz w:val="32"/>
          <w:szCs w:val="32"/>
          <w:lang w:val="en-US" w:eastAsia="zh-CN"/>
        </w:rPr>
        <w:t>5</w:t>
      </w:r>
      <w:r>
        <w:rPr>
          <w:rFonts w:hint="eastAsia" w:eastAsia="仿宋_GB2312"/>
          <w:sz w:val="32"/>
          <w:szCs w:val="32"/>
        </w:rPr>
        <w:t>人，工勤人员1人，事业管理人员</w:t>
      </w:r>
      <w:r>
        <w:rPr>
          <w:rFonts w:hint="eastAsia" w:eastAsia="仿宋_GB2312"/>
          <w:sz w:val="32"/>
          <w:szCs w:val="32"/>
          <w:lang w:val="en-US" w:eastAsia="zh-CN"/>
        </w:rPr>
        <w:t>4</w:t>
      </w:r>
      <w:r>
        <w:rPr>
          <w:rFonts w:hint="eastAsia" w:eastAsia="仿宋_GB2312"/>
          <w:sz w:val="32"/>
          <w:szCs w:val="32"/>
        </w:rPr>
        <w:t>人。单位离退休人员</w:t>
      </w:r>
      <w:r>
        <w:rPr>
          <w:rFonts w:hint="eastAsia" w:eastAsia="仿宋_GB2312"/>
          <w:sz w:val="32"/>
          <w:szCs w:val="32"/>
          <w:lang w:val="en-US" w:eastAsia="zh-CN"/>
        </w:rPr>
        <w:t>5</w:t>
      </w:r>
      <w:r>
        <w:rPr>
          <w:rFonts w:hint="eastAsia" w:eastAsia="仿宋_GB2312"/>
          <w:sz w:val="32"/>
          <w:szCs w:val="32"/>
        </w:rPr>
        <w:t xml:space="preserve">人，享受独生子女奖励人员1人。单位实有车辆0台，房屋建筑物面积80平方米，计算机9台，打印机4台，复印机1台，传真机1台，柜式空调1台，挂式空调2台，电话3部等。 </w:t>
      </w:r>
    </w:p>
    <w:p>
      <w:pPr>
        <w:spacing w:line="600" w:lineRule="exact"/>
        <w:ind w:firstLine="602" w:firstLineChars="200"/>
        <w:rPr>
          <w:rFonts w:eastAsia="仿宋_GB2312"/>
          <w:sz w:val="32"/>
          <w:szCs w:val="32"/>
        </w:rPr>
      </w:pPr>
      <w:r>
        <w:rPr>
          <w:rFonts w:hint="eastAsia" w:ascii="仿宋" w:hAnsi="仿宋" w:eastAsia="仿宋" w:cs="仿宋"/>
          <w:b/>
          <w:bCs/>
          <w:sz w:val="30"/>
          <w:szCs w:val="30"/>
        </w:rPr>
        <w:t>部门职能职责：1、</w:t>
      </w:r>
      <w:r>
        <w:rPr>
          <w:rFonts w:hint="eastAsia" w:eastAsia="仿宋_GB2312"/>
          <w:sz w:val="32"/>
          <w:szCs w:val="32"/>
        </w:rPr>
        <w:t>组织贯彻执行中央、省委和市委关于统一战线的方针、政策、指示、决议，调查研究统一战线工作新情况新问题，及时向县委反映情况，提出开展统战工作的意见和建议。  2、负责协调县委同党外代表人士保持密切联系，协助县委贯彻党领导的多党合作和政治协商制度；落实中央关于发挥各界党外代表人士参政议政和民主监督作用的工作；及时通报情况，听取党外人士的意见和建议。   3、负责调查研究有关民族宗教工作的方针政策的贯彻落实情况；依法加强宗教事务的管理；联系少数民族和宗教界的代表人物；协助有关部门做好少数民族干部的发现、培养、选拔和举荐工作；会同有关部门反对和抵制境外宗教敌对势力的渗透活动，维护政治社会稳定。   4、负责开展以祖国统一为重点的港澳台和海外统战工作；联系港澳台和海外有关社团及代表人士；做好台胞、台属的有关工作。    5、负责党外人士的政治安排；会同有关部门做好培养、考察、选拔、推荐、安排党外人士担任政府及其部门和司法机关领导职务的工作；做好党外后备干部和新的代表人物队伍建设工作。   6、负责联系海内外工商界社团和代表人士，开展经济领域的统战工作；受县委委托领导县工商联党组，指导工商联工作；调查、研究并反映我县非公有制经济代表人士的情况，协调关系，提出政策建议；联系非公有制经济代表人士，做好团结教育工作。  7、掌握党外知识分子的情况，反映他们的意见，协调关系，提出政策建议；联系并培养党外知识分子代表人物，会同有关部门做好政治、生活待遇的安排。   8、负责统一战线的宣传工作。   9、负责指导各乡镇党委统战工作，协调各有关部门的统战工作，负责统战干部和党外干部的培训工作。   10、完成县委和市委统战部交办的其他工作。 </w:t>
      </w:r>
    </w:p>
    <w:p>
      <w:pPr>
        <w:numPr>
          <w:ilvl w:val="0"/>
          <w:numId w:val="3"/>
        </w:numPr>
        <w:spacing w:line="600" w:lineRule="exact"/>
        <w:ind w:firstLine="64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pPr>
        <w:autoSpaceDE w:val="0"/>
        <w:autoSpaceDN w:val="0"/>
        <w:adjustRightInd w:val="0"/>
        <w:spacing w:line="520" w:lineRule="exact"/>
        <w:ind w:firstLine="640"/>
        <w:rPr>
          <w:rFonts w:ascii="黑体" w:hAnsi="黑体" w:eastAsia="黑体"/>
          <w:sz w:val="32"/>
          <w:szCs w:val="32"/>
        </w:rPr>
      </w:pPr>
      <w:r>
        <w:rPr>
          <w:rFonts w:hint="eastAsia" w:eastAsia="仿宋_GB2312"/>
          <w:sz w:val="32"/>
          <w:szCs w:val="32"/>
        </w:rPr>
        <w:t>本部门整体支出和项目支出实行绩效目标管理，202</w:t>
      </w:r>
      <w:r>
        <w:rPr>
          <w:rFonts w:hint="eastAsia" w:eastAsia="仿宋_GB2312"/>
          <w:sz w:val="32"/>
          <w:szCs w:val="32"/>
          <w:lang w:val="en-US" w:eastAsia="zh-CN"/>
        </w:rPr>
        <w:t>4</w:t>
      </w:r>
      <w:r>
        <w:rPr>
          <w:rFonts w:hint="eastAsia" w:eastAsia="仿宋_GB2312"/>
          <w:sz w:val="32"/>
          <w:szCs w:val="32"/>
        </w:rPr>
        <w:t>年，本部门支出</w:t>
      </w:r>
      <w:r>
        <w:rPr>
          <w:rFonts w:hint="eastAsia" w:eastAsia="仿宋_GB2312"/>
          <w:sz w:val="32"/>
          <w:szCs w:val="32"/>
          <w:lang w:val="en-US" w:eastAsia="zh-CN"/>
        </w:rPr>
        <w:t>258.27</w:t>
      </w:r>
      <w:r>
        <w:rPr>
          <w:rFonts w:hint="eastAsia" w:eastAsia="仿宋_GB2312"/>
          <w:sz w:val="32"/>
          <w:szCs w:val="32"/>
        </w:rPr>
        <w:t>万元，与去年相比</w:t>
      </w:r>
      <w:r>
        <w:rPr>
          <w:rFonts w:hint="eastAsia" w:eastAsia="仿宋_GB2312"/>
          <w:sz w:val="32"/>
          <w:szCs w:val="32"/>
          <w:lang w:val="en-US" w:eastAsia="zh-CN"/>
        </w:rPr>
        <w:t>增加了3.16</w:t>
      </w:r>
      <w:r>
        <w:rPr>
          <w:rFonts w:hint="eastAsia" w:eastAsia="仿宋_GB2312"/>
          <w:sz w:val="32"/>
          <w:szCs w:val="32"/>
        </w:rPr>
        <w:t>%。</w:t>
      </w:r>
    </w:p>
    <w:p>
      <w:pPr>
        <w:pStyle w:val="8"/>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widowControl/>
        <w:spacing w:line="600" w:lineRule="exact"/>
        <w:ind w:firstLine="660"/>
        <w:jc w:val="left"/>
        <w:rPr>
          <w:rFonts w:eastAsia="黑体"/>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本部门一般公共预算拨款支出预算</w:t>
      </w:r>
      <w:r>
        <w:rPr>
          <w:rFonts w:hint="eastAsia" w:eastAsia="仿宋_GB2312"/>
          <w:sz w:val="32"/>
          <w:szCs w:val="32"/>
          <w:lang w:val="en-US" w:eastAsia="zh-CN"/>
        </w:rPr>
        <w:t>258.27</w:t>
      </w:r>
      <w:r>
        <w:rPr>
          <w:rFonts w:eastAsia="仿宋_GB2312"/>
          <w:sz w:val="32"/>
          <w:szCs w:val="32"/>
        </w:rPr>
        <w:t>万元，其中，</w:t>
      </w:r>
      <w:r>
        <w:rPr>
          <w:rFonts w:hint="eastAsia" w:eastAsia="仿宋_GB2312"/>
          <w:sz w:val="32"/>
          <w:szCs w:val="32"/>
        </w:rPr>
        <w:t>基本</w:t>
      </w:r>
      <w:r>
        <w:rPr>
          <w:rFonts w:eastAsia="仿宋_GB2312"/>
          <w:sz w:val="32"/>
          <w:szCs w:val="32"/>
        </w:rPr>
        <w:t>支出</w:t>
      </w:r>
      <w:r>
        <w:rPr>
          <w:rFonts w:hint="eastAsia" w:eastAsia="仿宋_GB2312"/>
          <w:sz w:val="32"/>
          <w:szCs w:val="32"/>
          <w:lang w:val="en-US" w:eastAsia="zh-CN"/>
        </w:rPr>
        <w:t>134.88</w:t>
      </w:r>
      <w:r>
        <w:rPr>
          <w:rFonts w:eastAsia="仿宋_GB2312"/>
          <w:sz w:val="32"/>
          <w:szCs w:val="32"/>
        </w:rPr>
        <w:t>万元，</w:t>
      </w:r>
      <w:r>
        <w:rPr>
          <w:rFonts w:hint="eastAsia" w:eastAsia="仿宋_GB2312"/>
          <w:sz w:val="32"/>
          <w:szCs w:val="32"/>
        </w:rPr>
        <w:t>与去年相比</w:t>
      </w:r>
      <w:r>
        <w:rPr>
          <w:rFonts w:hint="eastAsia" w:eastAsia="仿宋_GB2312"/>
          <w:sz w:val="32"/>
          <w:szCs w:val="32"/>
          <w:lang w:val="en-US" w:eastAsia="zh-CN"/>
        </w:rPr>
        <w:t>增加了2.99</w:t>
      </w:r>
      <w:r>
        <w:rPr>
          <w:rFonts w:eastAsia="仿宋_GB2312"/>
          <w:sz w:val="32"/>
          <w:szCs w:val="32"/>
        </w:rPr>
        <w:t>%；</w:t>
      </w:r>
      <w:r>
        <w:rPr>
          <w:rFonts w:hint="eastAsia" w:eastAsia="仿宋_GB2312"/>
          <w:sz w:val="32"/>
          <w:szCs w:val="32"/>
        </w:rPr>
        <w:t>项目</w:t>
      </w:r>
      <w:r>
        <w:rPr>
          <w:rFonts w:eastAsia="仿宋_GB2312"/>
          <w:sz w:val="32"/>
          <w:szCs w:val="32"/>
        </w:rPr>
        <w:t>支出</w:t>
      </w:r>
      <w:r>
        <w:rPr>
          <w:rFonts w:hint="eastAsia" w:eastAsia="仿宋_GB2312"/>
          <w:sz w:val="32"/>
          <w:szCs w:val="32"/>
          <w:lang w:val="en-US" w:eastAsia="zh-CN"/>
        </w:rPr>
        <w:t>123.39</w:t>
      </w:r>
      <w:r>
        <w:rPr>
          <w:rFonts w:eastAsia="仿宋_GB2312"/>
          <w:sz w:val="32"/>
          <w:szCs w:val="32"/>
        </w:rPr>
        <w:t>万元，</w:t>
      </w:r>
      <w:r>
        <w:rPr>
          <w:rFonts w:hint="eastAsia" w:eastAsia="仿宋_GB2312"/>
          <w:sz w:val="32"/>
          <w:szCs w:val="32"/>
        </w:rPr>
        <w:t>与去年相比</w:t>
      </w:r>
      <w:r>
        <w:rPr>
          <w:rFonts w:hint="eastAsia" w:eastAsia="仿宋_GB2312"/>
          <w:sz w:val="32"/>
          <w:szCs w:val="32"/>
          <w:lang w:val="en-US" w:eastAsia="zh-CN"/>
        </w:rPr>
        <w:t>增加3.36</w:t>
      </w:r>
      <w:r>
        <w:rPr>
          <w:rFonts w:eastAsia="仿宋_GB2312"/>
          <w:sz w:val="32"/>
          <w:szCs w:val="32"/>
        </w:rPr>
        <w:t>%。具体安排情况如下：</w:t>
      </w:r>
    </w:p>
    <w:p>
      <w:pPr>
        <w:widowControl/>
        <w:spacing w:line="600" w:lineRule="exact"/>
        <w:ind w:firstLine="660"/>
        <w:jc w:val="left"/>
        <w:rPr>
          <w:rFonts w:ascii="楷体_GB2312" w:hAnsi="楷体_GB2312" w:eastAsia="楷体_GB2312"/>
          <w:sz w:val="32"/>
          <w:szCs w:val="32"/>
        </w:rPr>
      </w:pPr>
      <w:r>
        <w:rPr>
          <w:rFonts w:eastAsia="楷体_GB2312"/>
          <w:b/>
          <w:sz w:val="32"/>
          <w:szCs w:val="32"/>
        </w:rPr>
        <w:t>（一）基本支出：</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年本部门基本支出预算数</w:t>
      </w:r>
      <w:r>
        <w:rPr>
          <w:rFonts w:hint="eastAsia" w:eastAsia="仿宋_GB2312"/>
          <w:sz w:val="32"/>
          <w:szCs w:val="32"/>
          <w:lang w:val="en-US" w:eastAsia="zh-CN"/>
        </w:rPr>
        <w:t>134.88</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pStyle w:val="8"/>
        <w:spacing w:line="600" w:lineRule="exact"/>
        <w:ind w:firstLine="640"/>
        <w:rPr>
          <w:rFonts w:ascii="楷体_GB2312" w:hAnsi="楷体_GB2312" w:eastAsia="楷体_GB2312"/>
          <w:b/>
          <w:bCs/>
          <w:sz w:val="32"/>
          <w:szCs w:val="32"/>
        </w:rPr>
      </w:pPr>
      <w:r>
        <w:rPr>
          <w:rFonts w:ascii="楷体_GB2312" w:hAnsi="楷体_GB2312" w:eastAsia="楷体_GB2312"/>
          <w:b/>
          <w:bCs/>
          <w:sz w:val="32"/>
          <w:szCs w:val="32"/>
        </w:rPr>
        <w:t>（二）项目支出情况</w:t>
      </w:r>
    </w:p>
    <w:p>
      <w:pPr>
        <w:widowControl/>
        <w:spacing w:line="600" w:lineRule="exact"/>
        <w:ind w:firstLine="660"/>
        <w:jc w:val="left"/>
        <w:rPr>
          <w:rFonts w:ascii="楷体_GB2312" w:hAnsi="楷体_GB2312" w:eastAsia="楷体_GB2312"/>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年本部门项目支出预算</w:t>
      </w:r>
      <w:r>
        <w:rPr>
          <w:rFonts w:hint="eastAsia" w:eastAsia="仿宋_GB2312"/>
          <w:sz w:val="32"/>
          <w:szCs w:val="32"/>
          <w:lang w:val="en-US" w:eastAsia="zh-CN"/>
        </w:rPr>
        <w:t>123.39</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lang w:val="en-US" w:eastAsia="zh-CN"/>
        </w:rPr>
        <w:t>统战特情经费</w:t>
      </w:r>
      <w:r>
        <w:rPr>
          <w:rFonts w:hint="eastAsia" w:eastAsia="仿宋_GB2312"/>
          <w:sz w:val="32"/>
          <w:szCs w:val="32"/>
        </w:rPr>
        <w:t>工作支出</w:t>
      </w:r>
      <w:r>
        <w:rPr>
          <w:rFonts w:hint="eastAsia" w:eastAsia="仿宋_GB2312"/>
          <w:sz w:val="32"/>
          <w:szCs w:val="32"/>
          <w:lang w:val="en-US" w:eastAsia="zh-CN"/>
        </w:rPr>
        <w:t>9</w:t>
      </w:r>
      <w:r>
        <w:rPr>
          <w:rFonts w:hint="eastAsia" w:eastAsia="仿宋_GB2312"/>
          <w:sz w:val="32"/>
          <w:szCs w:val="32"/>
        </w:rPr>
        <w:t>万元，</w:t>
      </w:r>
      <w:r>
        <w:rPr>
          <w:rFonts w:hint="eastAsia" w:eastAsia="仿宋_GB2312"/>
          <w:sz w:val="32"/>
          <w:szCs w:val="32"/>
          <w:u w:val="single"/>
        </w:rPr>
        <w:t>宗教事务和宗教人员社保</w:t>
      </w:r>
      <w:r>
        <w:rPr>
          <w:rFonts w:eastAsia="仿宋_GB2312"/>
          <w:sz w:val="32"/>
          <w:szCs w:val="32"/>
        </w:rPr>
        <w:t>支出</w:t>
      </w:r>
      <w:r>
        <w:rPr>
          <w:rFonts w:hint="eastAsia" w:eastAsia="仿宋_GB2312"/>
          <w:sz w:val="32"/>
          <w:szCs w:val="32"/>
          <w:lang w:val="en-US" w:eastAsia="zh-CN"/>
        </w:rPr>
        <w:t>9</w:t>
      </w:r>
      <w:r>
        <w:rPr>
          <w:rFonts w:eastAsia="仿宋_GB2312"/>
          <w:sz w:val="32"/>
          <w:szCs w:val="32"/>
        </w:rPr>
        <w:t>万元，主要用于</w:t>
      </w:r>
      <w:r>
        <w:rPr>
          <w:rFonts w:hint="eastAsia" w:eastAsia="仿宋_GB2312"/>
          <w:sz w:val="32"/>
          <w:szCs w:val="32"/>
        </w:rPr>
        <w:t>全县宗教场所和谐稳定</w:t>
      </w:r>
      <w:r>
        <w:rPr>
          <w:rFonts w:eastAsia="仿宋_GB2312"/>
          <w:sz w:val="32"/>
          <w:szCs w:val="32"/>
        </w:rPr>
        <w:t>等方面</w:t>
      </w:r>
      <w:r>
        <w:rPr>
          <w:rFonts w:hint="eastAsia" w:eastAsia="仿宋_GB2312"/>
          <w:sz w:val="32"/>
          <w:szCs w:val="32"/>
        </w:rPr>
        <w:t>......</w:t>
      </w:r>
      <w:r>
        <w:rPr>
          <w:rFonts w:eastAsia="仿宋_GB2312"/>
          <w:sz w:val="32"/>
          <w:szCs w:val="32"/>
        </w:rPr>
        <w:t>。</w:t>
      </w:r>
    </w:p>
    <w:p>
      <w:pPr>
        <w:pStyle w:val="8"/>
        <w:spacing w:line="600" w:lineRule="exact"/>
        <w:ind w:firstLine="64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政府性基金预算支出情况</w:t>
      </w:r>
    </w:p>
    <w:p>
      <w:pPr>
        <w:widowControl/>
        <w:spacing w:line="600" w:lineRule="exact"/>
        <w:ind w:firstLine="1641" w:firstLineChars="513"/>
        <w:jc w:val="left"/>
        <w:rPr>
          <w:rFonts w:ascii="黑体" w:hAnsi="黑体" w:eastAsia="黑体"/>
          <w:sz w:val="32"/>
          <w:szCs w:val="32"/>
        </w:rPr>
      </w:pPr>
      <w:r>
        <w:rPr>
          <w:rFonts w:hint="eastAsia" w:ascii="仿宋" w:eastAsia="仿宋"/>
          <w:sz w:val="32"/>
          <w:szCs w:val="24"/>
        </w:rPr>
        <w:t>无</w:t>
      </w:r>
    </w:p>
    <w:p>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国有资本经营预算支出情况</w:t>
      </w:r>
    </w:p>
    <w:p>
      <w:pPr>
        <w:pStyle w:val="8"/>
        <w:spacing w:line="600" w:lineRule="exact"/>
        <w:ind w:firstLine="0" w:firstLineChars="0"/>
        <w:rPr>
          <w:rFonts w:ascii="黑体" w:hAnsi="黑体" w:eastAsia="黑体"/>
          <w:sz w:val="32"/>
          <w:szCs w:val="32"/>
        </w:rPr>
      </w:pPr>
      <w:r>
        <w:rPr>
          <w:rFonts w:hint="eastAsia" w:ascii="黑体" w:hAnsi="黑体" w:eastAsia="黑体"/>
          <w:sz w:val="32"/>
          <w:szCs w:val="32"/>
        </w:rPr>
        <w:t xml:space="preserve">          </w:t>
      </w:r>
      <w:r>
        <w:rPr>
          <w:rFonts w:hint="eastAsia" w:ascii="仿宋" w:hAnsi="Times New Roman" w:eastAsia="仿宋"/>
          <w:sz w:val="32"/>
          <w:szCs w:val="24"/>
        </w:rPr>
        <w:t>无</w:t>
      </w:r>
    </w:p>
    <w:p>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社会保险基金预算支出情况</w:t>
      </w:r>
    </w:p>
    <w:p>
      <w:pPr>
        <w:pStyle w:val="8"/>
        <w:spacing w:line="600" w:lineRule="exact"/>
        <w:ind w:left="420" w:leftChars="200" w:firstLine="1280" w:firstLineChars="400"/>
        <w:rPr>
          <w:rFonts w:ascii="仿宋" w:hAnsi="Times New Roman" w:eastAsia="仿宋"/>
          <w:sz w:val="32"/>
          <w:szCs w:val="24"/>
        </w:rPr>
      </w:pPr>
      <w:r>
        <w:rPr>
          <w:rFonts w:hint="eastAsia" w:ascii="仿宋" w:hAnsi="Times New Roman" w:eastAsia="仿宋"/>
          <w:sz w:val="32"/>
          <w:szCs w:val="24"/>
        </w:rPr>
        <w:t>无</w:t>
      </w:r>
    </w:p>
    <w:p>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部门整体支出绩效情况</w:t>
      </w:r>
    </w:p>
    <w:p>
      <w:pPr>
        <w:adjustRightInd w:val="0"/>
        <w:snapToGrid w:val="0"/>
        <w:spacing w:line="560" w:lineRule="exact"/>
        <w:ind w:firstLine="640" w:firstLineChars="200"/>
        <w:rPr>
          <w:rFonts w:ascii="仿宋" w:hAnsi="仿宋" w:eastAsia="仿宋"/>
          <w:sz w:val="32"/>
          <w:szCs w:val="32"/>
        </w:rPr>
      </w:pPr>
      <w:r>
        <w:rPr>
          <w:rFonts w:hint="eastAsia" w:ascii="仿宋_GB2312" w:eastAsia="仿宋_GB2312"/>
          <w:sz w:val="32"/>
          <w:szCs w:val="24"/>
        </w:rPr>
        <w:t xml:space="preserve">  </w:t>
      </w:r>
      <w:r>
        <w:rPr>
          <w:rFonts w:hint="eastAsia" w:ascii="仿宋" w:hAnsi="仿宋" w:eastAsia="仿宋"/>
          <w:sz w:val="32"/>
          <w:szCs w:val="32"/>
        </w:rPr>
        <w:t>1.县一小成功创建湖南省铸牢中华民族共同体意识教育示范学校；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2.2024年“寻美永州·同心向党”学习贯彻党的二十届三中全会精神微宣讲比赛中，我县知联会成员陈菲荣获二等奖；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3.《双牌县：创新“三三模式”，推动基层统战工作高质量发展》在湖南日报发表；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4.《湖南双牌：四项举措铸牢中华民族共同体意识》和《“四项举措”推进党外干部队伍建设》在中国统一战线杂志发表。</w:t>
      </w:r>
    </w:p>
    <w:p>
      <w:pPr>
        <w:adjustRightInd w:val="0"/>
        <w:snapToGrid w:val="0"/>
        <w:spacing w:line="560" w:lineRule="exact"/>
        <w:ind w:firstLine="640" w:firstLineChars="200"/>
        <w:rPr>
          <w:rFonts w:ascii="仿宋" w:hAnsi="仿宋" w:eastAsia="仿宋" w:cs="楷体_GB2312"/>
          <w:bCs/>
          <w:sz w:val="32"/>
          <w:szCs w:val="32"/>
        </w:rPr>
      </w:pPr>
      <w:r>
        <w:rPr>
          <w:rFonts w:hint="eastAsia" w:ascii="仿宋" w:hAnsi="仿宋" w:eastAsia="仿宋"/>
          <w:sz w:val="32"/>
          <w:szCs w:val="32"/>
        </w:rPr>
        <w:t>5.在昌源电子商务有限公司成立</w:t>
      </w:r>
      <w:r>
        <w:rPr>
          <w:rFonts w:hint="eastAsia" w:ascii="仿宋" w:hAnsi="仿宋" w:eastAsia="仿宋" w:cs="楷体_GB2312"/>
          <w:bCs/>
          <w:sz w:val="32"/>
          <w:szCs w:val="32"/>
        </w:rPr>
        <w:t>新的社会阶层人士实践创新基地。</w:t>
      </w:r>
    </w:p>
    <w:p>
      <w:pPr>
        <w:adjustRightInd w:val="0"/>
        <w:snapToGrid w:val="0"/>
        <w:spacing w:line="560" w:lineRule="exact"/>
        <w:ind w:firstLine="640" w:firstLineChars="200"/>
        <w:rPr>
          <w:rFonts w:ascii="仿宋" w:hAnsi="仿宋" w:eastAsia="仿宋" w:cs="楷体_GB2312"/>
          <w:bCs/>
          <w:sz w:val="32"/>
          <w:szCs w:val="32"/>
        </w:rPr>
      </w:pPr>
      <w:r>
        <w:rPr>
          <w:rFonts w:hint="eastAsia" w:ascii="仿宋" w:hAnsi="仿宋" w:eastAsia="仿宋" w:cs="楷体_GB2312"/>
          <w:bCs/>
          <w:sz w:val="32"/>
          <w:szCs w:val="32"/>
        </w:rPr>
        <w:t>6.万寿寺住持慧闻法师成功当选省佛教协会副会长。</w:t>
      </w:r>
    </w:p>
    <w:p>
      <w:pPr>
        <w:autoSpaceDE w:val="0"/>
        <w:autoSpaceDN w:val="0"/>
        <w:adjustRightInd w:val="0"/>
        <w:spacing w:line="520" w:lineRule="exact"/>
        <w:ind w:firstLine="640"/>
        <w:rPr>
          <w:rFonts w:hint="eastAsia" w:ascii="仿宋" w:hAnsi="仿宋" w:eastAsia="仿宋" w:cs="楷体_GB2312"/>
          <w:bCs/>
          <w:sz w:val="32"/>
          <w:szCs w:val="32"/>
          <w:lang w:eastAsia="zh-CN"/>
        </w:rPr>
      </w:pPr>
      <w:r>
        <w:rPr>
          <w:rFonts w:hint="eastAsia" w:ascii="黑体" w:hAnsi="黑体" w:eastAsia="黑体"/>
          <w:sz w:val="32"/>
          <w:szCs w:val="32"/>
          <w:lang w:val="en-US" w:eastAsia="zh-CN"/>
        </w:rPr>
        <w:t>7.</w:t>
      </w:r>
      <w:r>
        <w:rPr>
          <w:rFonts w:hint="eastAsia" w:ascii="仿宋" w:hAnsi="仿宋" w:eastAsia="仿宋" w:cs="楷体_GB2312"/>
          <w:bCs/>
          <w:sz w:val="32"/>
          <w:szCs w:val="32"/>
        </w:rPr>
        <w:t>以阳明山 “湖南华侨国际文化交流基地”为抓手，推动华人华侨及侨眷属回乡发展。常态化实施“暖侨行动”，为县内侨企提供服务，解决问题4个，为困难华侨申请帮困资金2万元。全年接待 30余名港澳台同胞，帮助解决问题6个。今年，第七届海峡两岸阳明山围棋邀请赛在阳明山举行，已成为两岸文化交流的重要品牌。建立１支爱国爱港代表人士队伍，在重要时间节点为香港同胞送去家乡土特产</w:t>
      </w:r>
      <w:r>
        <w:rPr>
          <w:rFonts w:hint="eastAsia" w:ascii="仿宋" w:hAnsi="仿宋" w:eastAsia="仿宋" w:cs="楷体_GB2312"/>
          <w:bCs/>
          <w:sz w:val="32"/>
          <w:szCs w:val="32"/>
          <w:lang w:eastAsia="zh-CN"/>
        </w:rPr>
        <w:t>。</w:t>
      </w:r>
    </w:p>
    <w:p>
      <w:pPr>
        <w:autoSpaceDE w:val="0"/>
        <w:autoSpaceDN w:val="0"/>
        <w:adjustRightInd w:val="0"/>
        <w:spacing w:line="520" w:lineRule="exact"/>
        <w:ind w:firstLine="640"/>
        <w:rPr>
          <w:rFonts w:hint="default" w:ascii="仿宋" w:hAnsi="仿宋" w:eastAsia="仿宋" w:cs="楷体_GB2312"/>
          <w:bCs/>
          <w:sz w:val="32"/>
          <w:szCs w:val="32"/>
          <w:lang w:val="en-US" w:eastAsia="zh-CN"/>
        </w:rPr>
      </w:pPr>
      <w:r>
        <w:rPr>
          <w:rFonts w:hint="eastAsia" w:ascii="仿宋" w:hAnsi="仿宋" w:eastAsia="仿宋" w:cs="楷体_GB2312"/>
          <w:bCs/>
          <w:sz w:val="32"/>
          <w:szCs w:val="32"/>
          <w:lang w:val="en-US" w:eastAsia="zh-CN"/>
        </w:rPr>
        <w:t>8.</w:t>
      </w:r>
      <w:r>
        <w:rPr>
          <w:rFonts w:hint="eastAsia" w:ascii="仿宋" w:hAnsi="仿宋" w:eastAsia="仿宋" w:cs="楷体_GB2312"/>
          <w:bCs/>
          <w:sz w:val="32"/>
          <w:szCs w:val="32"/>
        </w:rPr>
        <w:t>扎实做好普通高校招生享受民族优惠政策资格审核工作，今年为201名符合条件的高考考生进行加分审核办理。</w:t>
      </w:r>
    </w:p>
    <w:p>
      <w:pPr>
        <w:spacing w:line="600" w:lineRule="exact"/>
        <w:ind w:left="420" w:leftChars="200"/>
        <w:rPr>
          <w:rFonts w:ascii="黑体" w:hAnsi="黑体" w:eastAsia="黑体"/>
          <w:sz w:val="32"/>
          <w:szCs w:val="32"/>
        </w:rPr>
      </w:pPr>
    </w:p>
    <w:p>
      <w:pPr>
        <w:pStyle w:val="8"/>
        <w:numPr>
          <w:ilvl w:val="0"/>
          <w:numId w:val="4"/>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pPr>
        <w:pStyle w:val="8"/>
        <w:spacing w:line="600" w:lineRule="exact"/>
        <w:rPr>
          <w:rFonts w:hint="eastAsia" w:ascii="黑体" w:hAnsi="黑体" w:eastAsia="黑体"/>
          <w:sz w:val="32"/>
          <w:szCs w:val="32"/>
          <w:lang w:eastAsia="zh-CN"/>
        </w:rPr>
      </w:pPr>
      <w:r>
        <w:rPr>
          <w:rFonts w:hint="eastAsia" w:ascii="仿宋" w:hAnsi="仿宋" w:eastAsia="仿宋" w:cs="Times New Roman"/>
          <w:kern w:val="2"/>
          <w:sz w:val="30"/>
          <w:szCs w:val="30"/>
          <w:lang w:val="en-US" w:eastAsia="zh-CN" w:bidi="ar-SA"/>
        </w:rPr>
        <w:t>预算编制细化不够，年初预算和科目设置与实际发生情况有一定的出入。</w:t>
      </w:r>
    </w:p>
    <w:p>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1、科学合理编制预算，严格执行预算。要按照《预算法》及其实施条例的相关规定，参考今年的预算执行情况和年度的收支预测科学编制预算，避免年中大幅追加以及超预算。同时严格预算执行，提高资金使用效率。</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2、规范账务处理，提高财务信息质量。严格按照《会计法》、《行政单位会计制度》、《行政单位财务规则》等规定，</w:t>
      </w:r>
      <w:bookmarkStart w:id="0" w:name="_Hlk29396950"/>
      <w:bookmarkEnd w:id="0"/>
      <w:r>
        <w:rPr>
          <w:rFonts w:hint="eastAsia" w:ascii="仿宋" w:hAnsi="仿宋" w:eastAsia="仿宋"/>
          <w:sz w:val="30"/>
          <w:szCs w:val="30"/>
        </w:rPr>
        <w:t>争取配备专业人员从事财务工作，结合实际情况，科学设置支出科目，规范财务核算，完整披露相关信息。</w:t>
      </w:r>
    </w:p>
    <w:p>
      <w:pPr>
        <w:spacing w:line="600" w:lineRule="exact"/>
        <w:ind w:firstLine="600" w:firstLineChars="200"/>
        <w:rPr>
          <w:rFonts w:ascii="黑体" w:hAnsi="黑体" w:eastAsia="黑体"/>
          <w:sz w:val="32"/>
          <w:szCs w:val="32"/>
        </w:rPr>
      </w:pPr>
      <w:r>
        <w:rPr>
          <w:rFonts w:hint="eastAsia" w:ascii="仿宋" w:hAnsi="仿宋" w:eastAsia="仿宋"/>
          <w:sz w:val="30"/>
          <w:szCs w:val="30"/>
        </w:rPr>
        <w:t>3、加强单位内控制度建设，完善相关内部管理制度。按县财政局要求开展内部控制建设工作，通过查找内部管理中的薄弱环节提出问题；通过清理制度完善各项《内部控制制度》。</w:t>
      </w:r>
    </w:p>
    <w:p>
      <w:pPr>
        <w:numPr>
          <w:ilvl w:val="0"/>
          <w:numId w:val="4"/>
        </w:numPr>
        <w:spacing w:line="600" w:lineRule="exact"/>
        <w:ind w:firstLine="640" w:firstLineChars="200"/>
        <w:rPr>
          <w:rFonts w:ascii="黑体" w:hAnsi="黑体" w:eastAsia="黑体"/>
          <w:sz w:val="32"/>
          <w:szCs w:val="32"/>
        </w:rPr>
      </w:pPr>
      <w:r>
        <w:rPr>
          <w:rFonts w:ascii="黑体" w:hAnsi="黑体" w:eastAsia="黑体"/>
          <w:sz w:val="32"/>
          <w:szCs w:val="32"/>
        </w:rPr>
        <w:t>绩效自评结果拟应用和公开情况</w:t>
      </w:r>
    </w:p>
    <w:p>
      <w:pPr>
        <w:spacing w:line="600" w:lineRule="exact"/>
        <w:ind w:firstLine="600" w:firstLineChars="200"/>
        <w:rPr>
          <w:rFonts w:ascii="黑体" w:hAnsi="黑体" w:eastAsia="黑体"/>
          <w:sz w:val="32"/>
          <w:szCs w:val="32"/>
        </w:rPr>
      </w:pPr>
      <w:r>
        <w:rPr>
          <w:rFonts w:hint="eastAsia" w:ascii="仿宋" w:hAnsi="仿宋" w:eastAsia="仿宋"/>
          <w:sz w:val="30"/>
          <w:szCs w:val="30"/>
        </w:rPr>
        <w:t>绩效自评报告由财政局在网站统一公开。</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pPr>
        <w:spacing w:line="600" w:lineRule="exact"/>
        <w:ind w:firstLine="960" w:firstLineChars="300"/>
      </w:pPr>
      <w:r>
        <w:rPr>
          <w:rFonts w:hint="eastAsia" w:ascii="黑体" w:hAnsi="黑体" w:eastAsia="黑体"/>
          <w:sz w:val="32"/>
          <w:szCs w:val="32"/>
        </w:rPr>
        <w:t>无</w:t>
      </w:r>
    </w:p>
    <w:p/>
    <w:p>
      <w:pPr>
        <w:pStyle w:val="4"/>
      </w:pPr>
    </w:p>
    <w:p>
      <w:pPr>
        <w:pStyle w:val="4"/>
      </w:pPr>
    </w:p>
    <w:p>
      <w:pPr>
        <w:spacing w:line="560" w:lineRule="exact"/>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eastAsia" w:ascii="黑体" w:hAnsi="黑体" w:eastAsia="黑体" w:cs="宋体"/>
          <w:kern w:val="0"/>
          <w:sz w:val="32"/>
          <w:szCs w:val="32"/>
        </w:rPr>
      </w:pPr>
    </w:p>
    <w:p>
      <w:pPr>
        <w:pStyle w:val="4"/>
        <w:ind w:left="0" w:leftChars="0" w:firstLine="0" w:firstLineChars="0"/>
        <w:rPr>
          <w:rFonts w:hint="default"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t>附件1：</w:t>
      </w:r>
    </w:p>
    <w:tbl>
      <w:tblPr>
        <w:tblStyle w:val="5"/>
        <w:tblW w:w="10164"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6"/>
        <w:gridCol w:w="1380"/>
        <w:gridCol w:w="1356"/>
        <w:gridCol w:w="1212"/>
        <w:gridCol w:w="1212"/>
        <w:gridCol w:w="1140"/>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1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财政供养人员情况</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编制数</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2024年实际在职人数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经费控制情况(万元)</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2023年决算数</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2024年预算数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1、公务用车购置和维护经费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其中：公车购置</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公车运行维护</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2、出国经费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3、公务接待</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124.21</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1、业务工作经费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124.21</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2、运行维护经费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3、本级专项资金（一个专项一行）</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其中：办公经费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水费、电费、差旅费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会议费、培训费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政府采购金额</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部门基本支出预算调整 </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楼堂馆所控制情况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（2024年完工项目）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批复规模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实际规模</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规模控制率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实际投资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厉行节约保障措施</w:t>
            </w:r>
          </w:p>
        </w:tc>
        <w:tc>
          <w:tcPr>
            <w:tcW w:w="74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建立健全财务制度，严格遵守国家财政规章，加强财务审批。</w:t>
            </w:r>
          </w:p>
        </w:tc>
      </w:tr>
    </w:tbl>
    <w:p>
      <w:pPr>
        <w:widowControl/>
        <w:spacing w:line="300" w:lineRule="exact"/>
        <w:jc w:val="left"/>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tbl>
      <w:tblPr>
        <w:tblStyle w:val="5"/>
        <w:tblW w:w="10345"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5"/>
        <w:gridCol w:w="391"/>
        <w:gridCol w:w="1554"/>
        <w:gridCol w:w="1028"/>
        <w:gridCol w:w="1038"/>
        <w:gridCol w:w="1132"/>
        <w:gridCol w:w="1080"/>
        <w:gridCol w:w="312"/>
        <w:gridCol w:w="672"/>
        <w:gridCol w:w="39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4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预算部门名称</w:t>
            </w:r>
          </w:p>
        </w:tc>
        <w:tc>
          <w:tcPr>
            <w:tcW w:w="832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lang w:val="en-US" w:eastAsia="zh-CN" w:bidi="ar"/>
              </w:rPr>
              <w:t>(万元)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年初预算数</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165.39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259.14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258.27</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99.66%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4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按收入性质分：</w:t>
            </w:r>
          </w:p>
        </w:tc>
        <w:tc>
          <w:tcPr>
            <w:tcW w:w="3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一般公共预算：</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258.27</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2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政府性基金拨款：</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2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其他资金</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10.93</w:t>
            </w: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4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3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4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认真传达学习贯彻落实习近平总书记重要指示批示精神和讲话精神；（二）加强统战队伍建设，实施“双创双提升”活动；（三）开展统战各领域主题教育活动；（四）举报“迎老乡、回故乡、建家乡”活动，实施“万企兴万村”等活动。（五）筑牢民族共同体意识。（六）做好统战、民族、宗教、新阶层人士及少数民族考生审核工作。（七）做好统战工作的调研、培训及党外干部的培养。</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　　</w:t>
            </w:r>
          </w:p>
        </w:tc>
        <w:tc>
          <w:tcPr>
            <w:tcW w:w="3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仿宋_GB2312" w:hAnsi="宋体" w:eastAsia="仿宋_GB2312" w:cs="仿宋_GB2312"/>
                <w:i w:val="0"/>
                <w:iCs w:val="0"/>
                <w:color w:val="000000"/>
                <w:kern w:val="0"/>
                <w:sz w:val="18"/>
                <w:szCs w:val="18"/>
                <w:u w:val="none"/>
                <w:lang w:val="en-US" w:eastAsia="zh-CN" w:bidi="ar"/>
              </w:rPr>
              <w:t>.县一小成功创建湖南省铸牢中华民族共同体意识教育示范学校；2.2024年“寻美永州？同心向党”学习贯彻党的二十届三中全会精神微宣讲比赛中，我县知联会成</w:t>
            </w:r>
            <w:r>
              <w:rPr>
                <w:rFonts w:hint="eastAsia" w:ascii="仿宋_GB2312" w:hAnsi="宋体" w:eastAsia="仿宋_GB2312" w:cs="仿宋_GB2312"/>
                <w:i w:val="0"/>
                <w:iCs w:val="0"/>
                <w:color w:val="000000"/>
                <w:kern w:val="0"/>
                <w:sz w:val="18"/>
                <w:szCs w:val="18"/>
                <w:u w:val="none"/>
                <w:lang w:val="en-US" w:eastAsia="zh-CN" w:bidi="ar"/>
              </w:rPr>
              <w:t>员</w:t>
            </w:r>
            <w:r>
              <w:rPr>
                <w:rFonts w:hint="default" w:ascii="仿宋_GB2312" w:hAnsi="宋体" w:eastAsia="仿宋_GB2312" w:cs="仿宋_GB2312"/>
                <w:i w:val="0"/>
                <w:iCs w:val="0"/>
                <w:color w:val="000000"/>
                <w:kern w:val="0"/>
                <w:sz w:val="18"/>
                <w:szCs w:val="18"/>
                <w:u w:val="none"/>
                <w:lang w:val="en-US" w:eastAsia="zh-CN" w:bidi="ar"/>
              </w:rPr>
              <w:t>陈菲荣获二等奖；3.《双牌县：创新“三三模式”，推动基层统战工作高质量发展》在湖南日报发表；4.《湖南双牌：四项举措铸牢中华民族共同体意识》和《“四项举措”推进党外干部队伍建设》在中国统一战线杂志发表。5.在昌源电子商务有限公司成立新的社会阶层人士实践创新基地。6.万寿寺住持慧闻法师成功当选省佛教协会副会长。7.为201名符合条件的高考考生进行加分审核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评扣分标准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15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18"/>
                <w:szCs w:val="18"/>
                <w:u w:val="none"/>
              </w:rPr>
            </w:pPr>
          </w:p>
        </w:tc>
        <w:tc>
          <w:tcPr>
            <w:tcW w:w="15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产出指标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举办党外代表人士培训班等期数（期）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少一次扣0.1份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少数民族考生审核（人）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少一人扣0.1份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举办党外代表人士培训班等学员结业率（%）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质量标准不能低于80%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规定期限内完成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2024年12月31日前完成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一般性支出压减率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一般性支出压减率不能高于10%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推动双牌高质量发展成效显著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成效显著</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成效显著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未完成扣1分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项目无污染</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项目无污染</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项目无污染</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项目无污染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推动双牌高质量发展成效显著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成效显著</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成效显著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成效显著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继续巩固和推动实施一批产业发展、设施改善项目，持续开展特殊活动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巩固率不能低于70%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基本支出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138.78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138.78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项目支出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119.49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119.49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生态环境改善度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目标群体满意度不能低于80%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832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99.97</w:t>
            </w:r>
          </w:p>
        </w:tc>
      </w:tr>
    </w:tbl>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rPr>
          <w:rFonts w:hint="default" w:eastAsia="宋体"/>
          <w:b/>
          <w:bCs/>
          <w:lang w:val="en-US" w:eastAsia="zh-CN"/>
        </w:rPr>
      </w:pPr>
      <w:r>
        <w:rPr>
          <w:rFonts w:hint="eastAsia"/>
          <w:b/>
          <w:bCs/>
          <w:lang w:val="en-US" w:eastAsia="zh-CN"/>
        </w:rPr>
        <w:t>附件3：</w:t>
      </w:r>
    </w:p>
    <w:tbl>
      <w:tblPr>
        <w:tblStyle w:val="5"/>
        <w:tblW w:w="9888" w:type="dxa"/>
        <w:tblInd w:w="-6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6"/>
        <w:gridCol w:w="614"/>
        <w:gridCol w:w="1104"/>
        <w:gridCol w:w="1128"/>
        <w:gridCol w:w="936"/>
        <w:gridCol w:w="1056"/>
        <w:gridCol w:w="924"/>
        <w:gridCol w:w="936"/>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6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8282"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党外非公知联会工作经费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6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8282"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6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782"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中共永州市双牌县委统一战线工作部</w:t>
            </w:r>
          </w:p>
        </w:tc>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444"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71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128"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93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056"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9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5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12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12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12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3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1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12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6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782"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500"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782"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党外干部联络、非公有制组织党建、新的社会阶层人士工作、党外联谊交友、知联会工作经费</w:t>
            </w:r>
          </w:p>
        </w:tc>
        <w:tc>
          <w:tcPr>
            <w:tcW w:w="4500"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整合统战资源，扎实推进党外人士品牌阵地建设。目前，共建立村（社区）“同心之家”117家、乡镇“统战工作站”12个、基层商会3个，打造“统战之家”1个、知联会和新阶联实践创新基地7个。充分发挥党外人士的桥梁和纽带作用，多次开展进村入户开展科普知识宣讲、法制、食品药品安全宣传、医疗卫生义诊、计生咨询服务等惠农服务活动，为社区居民普及法律知识、免费提供法律咨询187人次，为村民免费体检、提供健康咨询服务1000余人次。引导和组织党外人士围绕地方经济社会发展的重点、难点、热点领域建言献策，提交议案建议22件，完成3篇调研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782"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50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782"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50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936"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05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92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5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2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党外干部培训2次</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反映项目产出质量</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项目在规定时间内完成</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充分发挥资金使用效益</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社会效益改善</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继续巩固和推动实施一批产业发展、设施改善项目，持续开展特殊活动</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继续巩固</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目标群体满意度</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项目成本</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17.19</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社会成本节约率</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61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生态环境改善度</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效果明显</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效果明显</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44"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9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58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Pr>
        <w:spacing w:line="600" w:lineRule="exact"/>
      </w:pPr>
    </w:p>
    <w:p>
      <w:pPr>
        <w:spacing w:line="600" w:lineRule="exact"/>
      </w:pPr>
    </w:p>
    <w:tbl>
      <w:tblPr>
        <w:tblStyle w:val="5"/>
        <w:tblW w:w="10941" w:type="dxa"/>
        <w:tblInd w:w="-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8"/>
        <w:gridCol w:w="1104"/>
        <w:gridCol w:w="1212"/>
        <w:gridCol w:w="72"/>
        <w:gridCol w:w="1056"/>
        <w:gridCol w:w="1356"/>
        <w:gridCol w:w="1404"/>
        <w:gridCol w:w="780"/>
        <w:gridCol w:w="900"/>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513" w:type="dxa"/>
            <w:gridSpan w:val="9"/>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海外联谊侨务工作经费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513" w:type="dxa"/>
            <w:gridSpan w:val="9"/>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44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中共永州市双牌县委统一战线工作部</w:t>
            </w:r>
          </w:p>
        </w:tc>
        <w:tc>
          <w:tcPr>
            <w:tcW w:w="13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4713"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284"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105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356"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14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68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8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35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8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35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284"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3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4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284"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3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4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284"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3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4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284"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35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4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44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606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444"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海外联谊、侨务工作经费</w:t>
            </w:r>
          </w:p>
        </w:tc>
        <w:tc>
          <w:tcPr>
            <w:tcW w:w="6069" w:type="dxa"/>
            <w:gridSpan w:val="5"/>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以阳明山 “湖南华侨国际文化交流基地”为抓手，推动华人华侨及侨眷属回乡发展。常态化实施“暖侨行动”，为县内侨企提供服务，解决问题4个，为困难华侨申请帮困资金2万元。全年接待 30余名港澳台同胞，帮助解决问题6个。今年，第七届海峡两岸阳明山围棋邀请赛在阳明山举行，已成为两岸文化交流的重要品牌。建立１支爱国爱港代表人士队伍，在重要时间节点为香港同胞送去家乡土特产。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44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069" w:type="dxa"/>
            <w:gridSpan w:val="5"/>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44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069" w:type="dxa"/>
            <w:gridSpan w:val="5"/>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2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12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1356"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404"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62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35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0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35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0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2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2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实施“暖侨行动”</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不少于5次</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5次</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接待 港澳台同胞</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30余人</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30余人</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团结海外侨胞</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规定时限内完成</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充分发挥专项资金使用效益</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构建海外侨胞团结和谐</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生态环境改善度</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项目可持续发展</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巩固发展</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巩固发展</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目标群体满意度</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项目成本</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6万</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6万</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一般性支出压减率</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12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生态环境改善度</w:t>
            </w:r>
          </w:p>
        </w:tc>
        <w:tc>
          <w:tcPr>
            <w:tcW w:w="135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40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28"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14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
    <w:p/>
    <w:tbl>
      <w:tblPr>
        <w:tblStyle w:val="5"/>
        <w:tblW w:w="10836" w:type="dxa"/>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164"/>
        <w:gridCol w:w="360"/>
        <w:gridCol w:w="828"/>
        <w:gridCol w:w="192"/>
        <w:gridCol w:w="996"/>
        <w:gridCol w:w="242"/>
        <w:gridCol w:w="910"/>
        <w:gridCol w:w="960"/>
        <w:gridCol w:w="864"/>
        <w:gridCol w:w="972"/>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420" w:type="dxa"/>
            <w:gridSpan w:val="11"/>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机关运转经费及年终统战对象走访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420" w:type="dxa"/>
            <w:gridSpan w:val="11"/>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540" w:type="dxa"/>
            <w:gridSpan w:val="5"/>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中共永州市双牌县委统一战线工作部</w:t>
            </w:r>
          </w:p>
        </w:tc>
        <w:tc>
          <w:tcPr>
            <w:tcW w:w="211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768"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524"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020"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99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2112" w:type="dxa"/>
            <w:gridSpan w:val="3"/>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8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9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9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2112" w:type="dxa"/>
            <w:gridSpan w:val="3"/>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9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2112" w:type="dxa"/>
            <w:gridSpan w:val="3"/>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020"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112" w:type="dxa"/>
            <w:gridSpan w:val="3"/>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020"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112" w:type="dxa"/>
            <w:gridSpan w:val="3"/>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020"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2112" w:type="dxa"/>
            <w:gridSpan w:val="3"/>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9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2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020" w:type="dxa"/>
            <w:gridSpan w:val="2"/>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9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112" w:type="dxa"/>
            <w:gridSpan w:val="3"/>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540" w:type="dxa"/>
            <w:gridSpan w:val="5"/>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5880"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540" w:type="dxa"/>
            <w:gridSpan w:val="5"/>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机关运转经费5万元及年终统战对象走访4万元。</w:t>
            </w:r>
          </w:p>
        </w:tc>
        <w:tc>
          <w:tcPr>
            <w:tcW w:w="5880" w:type="dxa"/>
            <w:gridSpan w:val="6"/>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县委统战部精心统筹协调，科学制定政策并给予专业业务指导；县直部门结合自身职能积极参与，全力提供资源与专业服务；乡镇扎实落实具体任务，用心做好基层统战对象的联系服务工作。各层级职责明确，有效拓展统战工作覆盖面，确保工作无死角、无盲区。二是强化政治引领，高度凝聚思想共识。紧紧围绕“党的二十大”精神这一条主线，扎实开展“五个一”活动，加强统战各领域思想教育、能力提升，确保统战工作始终沿着习近平总书记指引的方向前进。三是强化队伍建设，高标提升服务质效。全县117个村（社区）均配置统战工作室和统战联络员。县直各单位和各乡镇均明确1名网络专干，专门负责网络统战相关工作。扎实做好“四抓四强”和信息工作，全年在各级主流媒体发表文章72篇，其中省级及以上媒体13篇，市级媒体31篇，打造了一支高素质统战干部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540" w:type="dxa"/>
            <w:gridSpan w:val="5"/>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880" w:type="dxa"/>
            <w:gridSpan w:val="6"/>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3540" w:type="dxa"/>
            <w:gridSpan w:val="5"/>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880" w:type="dxa"/>
            <w:gridSpan w:val="6"/>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11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18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430" w:type="dxa"/>
            <w:gridSpan w:val="3"/>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910"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96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8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9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93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8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30" w:type="dxa"/>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0"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8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30" w:type="dxa"/>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0"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188"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走访统战对象</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75次</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75次</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成立基层商会</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6家</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6家</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单位正常运转</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项目在规定时间内完成</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及时支付</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构建团结和谐保稳定</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成效显著</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成效显著</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办公环境改善率</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促进工作开展</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群众满意率</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项目层本</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9万</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9万</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社会认同</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8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43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10"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6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8" w:type="dxa"/>
            <w:gridSpan w:val="9"/>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93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
    <w:p/>
    <w:p/>
    <w:p/>
    <w:p/>
    <w:p/>
    <w:p/>
    <w:p/>
    <w:p/>
    <w:p/>
    <w:p/>
    <w:tbl>
      <w:tblPr>
        <w:tblStyle w:val="5"/>
        <w:tblW w:w="10776" w:type="dxa"/>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8"/>
        <w:gridCol w:w="1128"/>
        <w:gridCol w:w="1128"/>
        <w:gridCol w:w="1464"/>
        <w:gridCol w:w="936"/>
        <w:gridCol w:w="1020"/>
        <w:gridCol w:w="864"/>
        <w:gridCol w:w="852"/>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348"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统战特情经费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348"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465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中共永州市双牌县委统一战线工作部</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67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2256"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464"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93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02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8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9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6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64"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46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8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46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8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46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8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2256"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464"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3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4656"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692"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656"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统战特情经费</w:t>
            </w:r>
          </w:p>
        </w:tc>
        <w:tc>
          <w:tcPr>
            <w:tcW w:w="4692"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落实宗教工作三级网络两级责任制，为县内3个民间信仰活动场所发放证书。在全县4个宗教活动场所持续开展“五进五好”活动，组织教职人员举行“爱党爱国爱社会主义”主题教育和“谈心谈话”活动。开展宗教领域执法4次，对非法传教和消防安全等方面风险隐进行患摸排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65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69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656"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69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4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936"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02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86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95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4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36"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2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6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95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民间信仰活动场所发放证书</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3个</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3个</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开展宗教领域执法</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4次</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4次</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构建民族宗教海外侨胞和谐稳定</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规定时限内完成</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充分发挥专项资金经济效益</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保障民族宗教场所正常运转</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效果显著</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可持续影响情况</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民族地区群众及宗教人士满意度</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统战特情工作经费</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9万</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9万</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社会层本节约率</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4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生态环境节约率</w:t>
            </w:r>
          </w:p>
        </w:tc>
        <w:tc>
          <w:tcPr>
            <w:tcW w:w="93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4"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9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
    <w:p/>
    <w:tbl>
      <w:tblPr>
        <w:tblStyle w:val="5"/>
        <w:tblW w:w="10716"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768"/>
        <w:gridCol w:w="1104"/>
        <w:gridCol w:w="1790"/>
        <w:gridCol w:w="912"/>
        <w:gridCol w:w="1200"/>
        <w:gridCol w:w="960"/>
        <w:gridCol w:w="1152"/>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636"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宗教民族工作经费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636"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457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中共永州市双牌县委统一战线工作部</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86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中共双牌县委统一战线工作部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872"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179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912"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20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1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9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0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9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0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17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1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17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1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17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1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5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87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179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12"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4574"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5062"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574"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宗教人员社会缴费、宗教事务、民族工作经费</w:t>
            </w:r>
          </w:p>
        </w:tc>
        <w:tc>
          <w:tcPr>
            <w:tcW w:w="5062"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积极开展民族团结示范创建工作，县一小成功创建湖南省铸牢中华民族共同体意识教育示范学校。今年投入60万元安排4个少数民族发展项目，改善民族地区产业发展。扎实做好普通高校招生享受民族优惠政策资格审核工作，今年为201名符合条件的高考考生进行加分审核办理。为县内3个民间信仰活动场所发放证书。在全县4个宗教活动场所持续开展“五进五好”活动，组织教职人员举行“爱党爱国爱社会主义”主题教育和“谈心谈话”活动。开展宗教领域执法4次，对非法传教和消防安全等方面风险隐进行患摸排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57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06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574"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062"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7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17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912"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200"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1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7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0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5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2" w:type="dxa"/>
            <w:vMerge w:val="continue"/>
            <w:tcBorders>
              <w:top w:val="nil"/>
              <w:left w:val="nil"/>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00"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75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10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宗教人士社会保险缴费</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少数民族考生审核</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201人</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201人</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覆盖率</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规定期限内完成</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利润增长率</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构建团结和谐的民族关系</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团结和谐</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团结和谐</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项目无污染</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保障少数民族和宗教人士的权益</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效果明显</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效果明显</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少数民族地区群众及宗教人士满意度</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项目层本</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8万</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8万</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一般性支出压减率</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10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17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可持续发展</w:t>
            </w:r>
          </w:p>
        </w:tc>
        <w:tc>
          <w:tcPr>
            <w:tcW w:w="912"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0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54"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1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7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
    <w:p/>
    <w:p/>
    <w:p>
      <w:bookmarkStart w:id="1" w:name="_GoBack"/>
      <w:bookmarkEnd w:id="1"/>
    </w:p>
    <w:sectPr>
      <w:footerReference r:id="rId3" w:type="default"/>
      <w:footerReference r:id="rId4"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00"/>
    <w:family w:val="auto"/>
    <w:pitch w:val="default"/>
    <w:sig w:usb0="00000000" w:usb1="00000000" w:usb2="00000000" w:usb3="00000000" w:csb0="00040001" w:csb1="00000000"/>
  </w:font>
  <w:font w:name="仿宋_GB2312">
    <w:altName w:val="方正仿宋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9104F"/>
    <w:multiLevelType w:val="singleLevel"/>
    <w:tmpl w:val="E569104F"/>
    <w:lvl w:ilvl="0" w:tentative="0">
      <w:start w:val="1"/>
      <w:numFmt w:val="chineseCounting"/>
      <w:suff w:val="nothing"/>
      <w:lvlText w:val="%1、"/>
      <w:lvlJc w:val="left"/>
      <w:rPr>
        <w:rFonts w:hint="eastAsia"/>
      </w:rPr>
    </w:lvl>
  </w:abstractNum>
  <w:abstractNum w:abstractNumId="1">
    <w:nsid w:val="EEF3C872"/>
    <w:multiLevelType w:val="singleLevel"/>
    <w:tmpl w:val="EEF3C872"/>
    <w:lvl w:ilvl="0" w:tentative="0">
      <w:start w:val="4"/>
      <w:numFmt w:val="chineseCounting"/>
      <w:suff w:val="nothing"/>
      <w:lvlText w:val="%1、"/>
      <w:lvlJc w:val="left"/>
      <w:rPr>
        <w:rFonts w:hint="eastAsia"/>
      </w:rPr>
    </w:lvl>
  </w:abstractNum>
  <w:abstractNum w:abstractNumId="2">
    <w:nsid w:val="13D9533C"/>
    <w:multiLevelType w:val="singleLevel"/>
    <w:tmpl w:val="13D9533C"/>
    <w:lvl w:ilvl="0" w:tentative="0">
      <w:start w:val="1"/>
      <w:numFmt w:val="chineseCounting"/>
      <w:suff w:val="nothing"/>
      <w:lvlText w:val="（%1）"/>
      <w:lvlJc w:val="left"/>
      <w:rPr>
        <w:rFonts w:hint="eastAsia"/>
      </w:rPr>
    </w:lvl>
  </w:abstractNum>
  <w:abstractNum w:abstractNumId="3">
    <w:nsid w:val="73E7F9A6"/>
    <w:multiLevelType w:val="singleLevel"/>
    <w:tmpl w:val="73E7F9A6"/>
    <w:lvl w:ilvl="0" w:tentative="0">
      <w:start w:val="2"/>
      <w:numFmt w:val="chineseCounting"/>
      <w:suff w:val="nothing"/>
      <w:lvlText w:val="（%1）"/>
      <w:lvlJc w:val="left"/>
      <w:pPr>
        <w:ind w:left="-1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DU5NjU3NjExMDI5OTMwNjFmOTgyZmI2M2E5NGEifQ=="/>
  </w:docVars>
  <w:rsids>
    <w:rsidRoot w:val="4BD03978"/>
    <w:rsid w:val="00824069"/>
    <w:rsid w:val="013775AC"/>
    <w:rsid w:val="057D5BEE"/>
    <w:rsid w:val="1349032B"/>
    <w:rsid w:val="19151AC7"/>
    <w:rsid w:val="1B4B5C73"/>
    <w:rsid w:val="1B886580"/>
    <w:rsid w:val="1BB67591"/>
    <w:rsid w:val="1E594203"/>
    <w:rsid w:val="240E783E"/>
    <w:rsid w:val="27055F9A"/>
    <w:rsid w:val="27BB7188"/>
    <w:rsid w:val="2C3F712F"/>
    <w:rsid w:val="2FA60E34"/>
    <w:rsid w:val="35E30B2B"/>
    <w:rsid w:val="3EA43C74"/>
    <w:rsid w:val="40C12F01"/>
    <w:rsid w:val="4BD03978"/>
    <w:rsid w:val="4BE07B8E"/>
    <w:rsid w:val="56BB1258"/>
    <w:rsid w:val="5753041B"/>
    <w:rsid w:val="58BC54DF"/>
    <w:rsid w:val="5C00671D"/>
    <w:rsid w:val="5D101956"/>
    <w:rsid w:val="5DC0337C"/>
    <w:rsid w:val="5E03459C"/>
    <w:rsid w:val="647E14AA"/>
    <w:rsid w:val="65FD1546"/>
    <w:rsid w:val="718F27DD"/>
    <w:rsid w:val="71FF77AD"/>
    <w:rsid w:val="76B810D6"/>
    <w:rsid w:val="786244ED"/>
    <w:rsid w:val="7931117A"/>
    <w:rsid w:val="7E8927DC"/>
    <w:rsid w:val="7F03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before="100" w:beforeAutospacing="1"/>
      <w:ind w:left="0" w:firstLine="420" w:firstLineChars="200"/>
    </w:pPr>
  </w:style>
  <w:style w:type="character" w:styleId="7">
    <w:name w:val="page number"/>
    <w:basedOn w:val="6"/>
    <w:qFormat/>
    <w:uiPriority w:val="0"/>
  </w:style>
  <w:style w:type="paragraph" w:customStyle="1" w:styleId="8">
    <w:name w:val="列出段落1"/>
    <w:basedOn w:val="1"/>
    <w:qFormat/>
    <w:uiPriority w:val="0"/>
    <w:pPr>
      <w:ind w:firstLine="420" w:firstLineChars="200"/>
    </w:pPr>
    <w:rPr>
      <w:rFonts w:ascii="Calibri" w:hAnsi="Calibri"/>
    </w:rPr>
  </w:style>
  <w:style w:type="paragraph" w:styleId="9">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3372</Words>
  <Characters>3653</Characters>
  <Lines>0</Lines>
  <Paragraphs>0</Paragraphs>
  <TotalTime>64</TotalTime>
  <ScaleCrop>false</ScaleCrop>
  <LinksUpToDate>false</LinksUpToDate>
  <CharactersWithSpaces>3943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2023-04-26T15:27:00Z</dcterms:created>
  <dc:creator>Administrator</dc:creator>
  <cp:lastModifiedBy>kylin</cp:lastModifiedBy>
  <cp:lastPrinted>2023-05-08T09:21:00Z</cp:lastPrinted>
  <dcterms:modified xsi:type="dcterms:W3CDTF">2025-09-15T16:42:04Z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FA5246EC80294E1A94DCD81F1C53ADE3_13</vt:lpwstr>
  </property>
  <property fmtid="{D5CDD505-2E9C-101B-9397-08002B2CF9AE}" pid="4" name="KSOTemplateDocerSaveRecord">
    <vt:lpwstr>eyJoZGlkIjoiYzgwYzgyNGNmYzQ1YTE0MTU3MDFjNDNlZTIxZjNiNzEiLCJ1c2VySWQiOiI0MzIyNTQ1MjEifQ==</vt:lpwstr>
  </property>
</Properties>
</file>