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双牌县妇女联合会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 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17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双牌县妇女联合会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主要职能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24"/>
        </w:rPr>
        <w:t>机构编制、人员构成等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1、双牌县妇女联合会主要职能：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坚持正确的政治方向，团结、教育全县各族各界妇女以及各类妇女组织同党中央在思想上、政治上、行动上保持高度一致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紧密围绕县委、县政府的中心任务开展工作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代表妇女参与社会事务的民主管理和民主监督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坚持为妇女儿童服务、为基层服务，加强与社会各界的联系，协调、推动社会各界为妇女儿童办好事、办实事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加强妇联组织自身建设，指导建立健全各级妇联和基层妇女组织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承担县妇女儿童工作委员会的日常工作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承办县委、县政府和市妇联交办的其他事项。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双牌县妇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合会属财政全额拨款正科级参照公务员管理单位；财务隶属关系属一级单位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，执行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行政单位会计制度。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现有内设机构1个：综合性办公室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年本单位年未实有人数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在编在岗参公人员4人，事业编制人员2人。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12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12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12"/>
        <w:spacing w:beforeLines="0" w:afterLines="0" w:line="570" w:lineRule="exact"/>
        <w:ind w:left="0" w:leftChars="0" w:firstLine="640" w:firstLineChars="200"/>
        <w:outlineLvl w:val="1"/>
        <w:rPr>
          <w:rFonts w:hint="default" w:ascii="Times New Roman" w:hAnsi="Times New Roman" w:eastAsia="仿宋_GB2312"/>
          <w:color w:val="auto"/>
          <w:sz w:val="32"/>
          <w:szCs w:val="24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基本支出完成79.18万元，比上年增加1.13万元，增加1%，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变化的主要原因：本年度在职人员增加一人。</w:t>
      </w:r>
    </w:p>
    <w:p>
      <w:pPr>
        <w:pStyle w:val="12"/>
        <w:numPr>
          <w:ilvl w:val="0"/>
          <w:numId w:val="1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仿宋" w:hAnsi="仿宋" w:eastAsia="仿宋"/>
          <w:sz w:val="32"/>
          <w:szCs w:val="24"/>
          <w:lang w:val="en-US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项目支出25.75万元，比上年减少6.75万元，减少21%；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年度执行中单位事权调整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。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人员经费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完成70.9万元，比上年增加4.66万元，增加7%，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变化的主要原因：本年度在职人员增加一人、基本工资等待遇调整。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公用</w:t>
      </w:r>
      <w:r>
        <w:rPr>
          <w:rFonts w:hint="eastAsia" w:ascii="仿宋_GB2312" w:eastAsia="仿宋_GB2312" w:cs="Times New Roman"/>
          <w:sz w:val="32"/>
          <w:szCs w:val="32"/>
          <w:lang w:val="zh-CN" w:eastAsia="zh-CN"/>
        </w:rPr>
        <w:t>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完成8.27万元，比上年减少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3.54</w:t>
      </w:r>
      <w:r>
        <w:rPr>
          <w:rFonts w:hint="eastAsia" w:ascii="仿宋" w:hAnsi="仿宋" w:eastAsia="仿宋"/>
          <w:sz w:val="32"/>
          <w:szCs w:val="24"/>
          <w:lang w:val="en-US"/>
        </w:rPr>
        <w:t>万元，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减少30</w:t>
      </w:r>
      <w:r>
        <w:rPr>
          <w:rFonts w:hint="eastAsia" w:ascii="仿宋" w:hAnsi="仿宋" w:eastAsia="仿宋"/>
          <w:sz w:val="32"/>
          <w:szCs w:val="24"/>
          <w:lang w:val="en-US"/>
        </w:rPr>
        <w:t>%，</w:t>
      </w:r>
      <w:r>
        <w:rPr>
          <w:rFonts w:hint="eastAsia" w:ascii="仿宋" w:hAnsi="仿宋" w:eastAsia="仿宋"/>
          <w:sz w:val="32"/>
          <w:szCs w:val="24"/>
          <w:lang w:val="zh-CN"/>
        </w:rPr>
        <w:t>变化的主要原因：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严格预算管控、优化办公流程、市场价格波动</w:t>
      </w:r>
      <w:r>
        <w:rPr>
          <w:rFonts w:hint="eastAsia" w:ascii="仿宋" w:hAnsi="仿宋" w:eastAsia="仿宋"/>
          <w:sz w:val="32"/>
          <w:szCs w:val="24"/>
          <w:lang w:val="en-US"/>
        </w:rPr>
        <w:t>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12"/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numPr>
          <w:ilvl w:val="0"/>
          <w:numId w:val="0"/>
        </w:numPr>
        <w:spacing w:beforeLines="0" w:afterLines="0" w:line="570" w:lineRule="exact"/>
        <w:ind w:leftChars="0" w:firstLine="640" w:firstLineChars="200"/>
        <w:jc w:val="both"/>
        <w:outlineLvl w:val="1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年度部门总目标预算为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113.3万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纳入预算管理的所有财政性资金，对照财政批复的部门整体支出绩效目标，收集截至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底的部门整体支出的预算执行情况和绩效目标执行情况信息，采用目标比较法，用定量分析和定性分析相结合的方式，将实现情况和预期目标相比较，对目标完成、预算执行等情况进行分析研判，完成绩效监控工作。</w:t>
      </w:r>
    </w:p>
    <w:p>
      <w:pPr>
        <w:pStyle w:val="12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通过部门整体支出绩效监控，暂未发现相关问题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p>
      <w:pPr>
        <w:numPr>
          <w:ilvl w:val="0"/>
          <w:numId w:val="4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管理，及时发现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执行过程中出现的问题并加以改进。二是加强对内部部门申报项目的指导，绩效目标的设置更加精准，与工作进度相匹配。</w:t>
      </w:r>
    </w:p>
    <w:p>
      <w:pPr>
        <w:numPr>
          <w:ilvl w:val="0"/>
          <w:numId w:val="4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部门整体支出绩效自评结果拟应用和公开情况</w:t>
      </w:r>
      <w:r>
        <w:rPr>
          <w:rFonts w:hint="eastAsia" w:eastAsia="黑体"/>
          <w:sz w:val="32"/>
          <w:szCs w:val="24"/>
          <w:lang w:eastAsia="zh-CN"/>
        </w:rPr>
        <w:t>及</w:t>
      </w:r>
      <w:r>
        <w:rPr>
          <w:rFonts w:hint="eastAsia" w:eastAsia="黑体"/>
          <w:sz w:val="32"/>
          <w:szCs w:val="24"/>
        </w:rPr>
        <w:t>其他需要说明的情况</w:t>
      </w:r>
    </w:p>
    <w:p>
      <w:pPr>
        <w:pStyle w:val="2"/>
        <w:numPr>
          <w:ilvl w:val="0"/>
          <w:numId w:val="0"/>
        </w:numPr>
        <w:ind w:leftChars="200" w:firstLine="280" w:firstLineChars="1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无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95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054"/>
        <w:gridCol w:w="778"/>
        <w:gridCol w:w="1219"/>
        <w:gridCol w:w="1054"/>
        <w:gridCol w:w="1019"/>
        <w:gridCol w:w="1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37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3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7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78.05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113.3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104.93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11.81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8.3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8.27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0.34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2.29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2.46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0.993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0.9641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0.993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0.9641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32.5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32.54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妇女儿童委员会经费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妇女事业发展经费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3.县婚姻家庭纠纷调解专项工作经费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心理健康服务和推广家庭教育专项工作经费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关于解决庆“三八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”系列活动经费的请示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7.91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33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3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337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16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明确做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单位厉行节约专项工作，是一项严肃的政治任务，必须从全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出发，切实把思想和行动统一，进一步增强责任感和紧迫感。为此，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我会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采取有力措施，制定了实施方案、工作计划等，确保厉行节约各项规定要求落实到位，取得实实在在的效果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07467723511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9"/>
        <w:tblW w:w="85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62"/>
        <w:gridCol w:w="669"/>
        <w:gridCol w:w="507"/>
        <w:gridCol w:w="2598"/>
        <w:gridCol w:w="870"/>
        <w:gridCol w:w="690"/>
        <w:gridCol w:w="540"/>
        <w:gridCol w:w="510"/>
        <w:gridCol w:w="1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0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749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83.75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113.3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104.93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97.14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79.18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25.75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7.79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6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完成率达到≧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90%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28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10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eastAsia="zh-CN"/>
              </w:rPr>
              <w:t>妇女儿童宣传工作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≧3000人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2024年农村适龄和城镇低保适龄妇女“两癌”免费检查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≧2800人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2815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家庭教育“向阳花”行动场次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≧17次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7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“爱玲工作室”专业调解数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≧200件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5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各项工作全面完成预期目标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eastAsia="zh-CN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90%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受益妇女儿童人数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提供妇女儿童权益保障服务，促进社会和谐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≧2万人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促进妇女儿童普法率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0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2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公众满意度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≧95%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396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2"/>
          <w:szCs w:val="24"/>
        </w:rPr>
        <w:t>填表人：         填报日期：          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妇女儿童委员会经费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18"/>
                <w:szCs w:val="18"/>
                <w:lang w:val="en-US" w:eastAsia="zh-CN"/>
              </w:rPr>
              <w:t>协调和推动各成员单位做好维护妇女儿童权益，实施妇女儿童发展规划工作。开展调查研究，为委员会决策妇女儿童发展中的重大问题提供依据，承办全县妇女儿童工作会议、县妇儿工委全委会、专题会、经验交流与表彰工作。指导县妇儿工委办公室的工作。负责妇儿工委日常行政事务，制定编发各类文件和简报，完成省市妇儿工委办公室交办的其他工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20" w:lineRule="atLeas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7"/>
        <w:gridCol w:w="973"/>
        <w:gridCol w:w="1219"/>
        <w:gridCol w:w="1921"/>
        <w:gridCol w:w="1352"/>
        <w:gridCol w:w="717"/>
        <w:gridCol w:w="446"/>
        <w:gridCol w:w="676"/>
        <w:gridCol w:w="4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妇女儿童委员会经费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3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推动双牌县妇女儿童发展规划(2021-2025年)的实施，对监测出的重难点问题进行调研，确保指标达到终期目标;关爱留守流动儿童，组织妇儿工委成员单位开展慰问活动。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妇女儿童委员会工作经费1.7万元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各项工作全面完成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不超过预算总成本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成员单位会议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  <w:t>1次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妇女儿童宣传工作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承办全县妇女儿童工作会议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纳入数据库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/百分比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妇女儿童宣传工作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  <w:t>30000人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3000人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时效指标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w w:val="90"/>
                <w:sz w:val="21"/>
                <w:szCs w:val="21"/>
                <w:lang w:val="en-US" w:eastAsia="zh-CN"/>
              </w:rPr>
              <w:t>妇女儿童宣传工作按期完成率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保障妇女儿童工作开展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优化经济发展环境，改善服务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0" w:type="auto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Theme="minorEastAsia" w:hAnsiTheme="minorEastAsia" w:eastAsiaTheme="minorEastAsia" w:cstheme="minorEastAsia"/>
          <w:sz w:val="4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07467723511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单位负责人签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</w:rPr>
              <w:t>根据《中共湖南省委关于加强和改进党的群团工作的实施意见》中“省市县要按照所辖地区妇女的总人数，以每人每年不少于1元的标准分别划拨青少年、妇女事业发展专项经费，纳入同级财政预算，并随经济社会发展相应增加”的精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spacing w:beforeLines="0" w:after="120" w:afterLines="50" w:line="600" w:lineRule="exact"/>
        <w:ind w:firstLine="1320" w:firstLineChars="300"/>
        <w:jc w:val="both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8"/>
        <w:gridCol w:w="793"/>
        <w:gridCol w:w="897"/>
        <w:gridCol w:w="2049"/>
        <w:gridCol w:w="678"/>
        <w:gridCol w:w="1357"/>
        <w:gridCol w:w="579"/>
        <w:gridCol w:w="850"/>
        <w:gridCol w:w="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  <w:t>其中：当年财政拨款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牢牢把握“代表和维护妇女权益，促进男女平等”工作主线，紧紧“围绕中心、服务大局”工作理念，创造性地开展一系列富有成效的工作和活动，团结带领全县妇女为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双牌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县经济发展做出积极贡献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紧贴全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妇女儿童工作实际，坚持服务发展、服务基层、服务妇女的工作宗旨，不断开拓创新，圆满完成了各项工作任务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经济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妇女事业发展经费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3.2万元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社会成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  <w:lang w:eastAsia="zh-CN"/>
              </w:rPr>
              <w:t>本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2"/>
                <w:szCs w:val="22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2"/>
                <w:szCs w:val="22"/>
              </w:rPr>
              <w:t>成本指标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lang w:val="en-US" w:eastAsia="zh-CN"/>
              </w:rPr>
              <w:t>2024年农村和城镇低保适龄妇女“两癌”免费检查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2800人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2815人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lang w:val="en-US" w:eastAsia="zh-CN"/>
              </w:rPr>
              <w:t>农村妇女素质提升计划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80人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pacing w:val="-11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  <w:t>禁毒、垃圾、网络安全宣传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≧5次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≧5次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5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  <w:t>质量指标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各项工作全面完成预期目标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完成率达到≥90%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pacing w:val="-11"/>
                <w:kern w:val="0"/>
                <w:sz w:val="24"/>
                <w:szCs w:val="24"/>
              </w:rPr>
              <w:t>时效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pacing w:val="-11"/>
                <w:kern w:val="0"/>
                <w:sz w:val="24"/>
                <w:szCs w:val="24"/>
                <w:lang w:eastAsia="zh-CN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pacing w:val="-11"/>
                <w:kern w:val="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lang w:val="en-US" w:eastAsia="zh-CN"/>
              </w:rPr>
              <w:t>2024年全年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6"/>
          <w:wAfter w:w="0" w:type="auto"/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两癌免费检查提前超额完成，做实妇女就业、创业服务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婚姻家庭纠纷调解专项经费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及时有效地预防和化解婚姻家庭矛盾纠纷，切实维护妇女合法权益，推动平安家庭建设，促进双牌社会和谐稳定。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07467723511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91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2"/>
        <w:gridCol w:w="620"/>
        <w:gridCol w:w="1021"/>
        <w:gridCol w:w="2426"/>
        <w:gridCol w:w="1088"/>
        <w:gridCol w:w="1250"/>
        <w:gridCol w:w="611"/>
        <w:gridCol w:w="611"/>
        <w:gridCol w:w="5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8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14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婚姻家庭纠纷调解专项经费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8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5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17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7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12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5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2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lang w:val="en-US" w:eastAsia="zh-CN"/>
              </w:rPr>
              <w:t>利用“爱玲工作室”专业调解队伍为妇女群众提供更优质、专业、高效的服务。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29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8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婚姻家庭纠纷资金5.64万元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5.64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5.64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2" w:hRule="exac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各项工作全面完成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不超过预算总成本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“爱玲工作室”专业调解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200件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200件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Times New Roman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普法宣传、妇女儿童维权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20场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20场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县家调委全年调解成功率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50%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b w:val="0"/>
                <w:bCs w:val="0"/>
                <w:color w:val="000000"/>
                <w:kern w:val="0"/>
                <w:lang w:eastAsia="zh-CN"/>
              </w:rPr>
              <w:t>普法宣传、维权宣传场次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20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2024年全年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加强财政各项资金管理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生态环境普及全民参与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调解家庭矛盾，维护家庭和谐，促进社会稳定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9" w:hRule="atLeast"/>
          <w:jc w:val="center"/>
        </w:trPr>
        <w:tc>
          <w:tcPr>
            <w:tcW w:w="98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2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lang w:val="en-US" w:eastAsia="zh-CN"/>
              </w:rPr>
              <w:t>优化经济发展环境，改善服务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738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1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07467723511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心理健康服务和推广家庭教育专项工作经费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行政法规股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做好《湖南省家庭教育促进条例》工作落实、开展心理健康和家庭教育专题讲座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全部使用到位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1"/>
                <w:kern w:val="0"/>
                <w:lang w:eastAsia="zh-CN"/>
              </w:rPr>
              <w:t>完成全年绩效目标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1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07467723511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单位负责人签字：</w:t>
      </w: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pStyle w:val="3"/>
        <w:rPr>
          <w:rFonts w:hint="default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6"/>
        <w:gridCol w:w="821"/>
        <w:gridCol w:w="1109"/>
        <w:gridCol w:w="2287"/>
        <w:gridCol w:w="693"/>
        <w:gridCol w:w="808"/>
        <w:gridCol w:w="473"/>
        <w:gridCol w:w="731"/>
        <w:gridCol w:w="6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心理健康服务和推广家庭教育专项工作经费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行政法规股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双牌县妇女联合会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做好《湖南省家庭教育促进条例》工作落实、开展心理健康和家庭教育专题讲座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各项工作全面完成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工作经费5.03万元节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各项工作全面完成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成本指标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不超过预算总成本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家风、家教、家庭教育宣传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≧20次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≧20次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家庭教育“向阳花”行动场次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≧17次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宣传到乡镇、村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lang w:eastAsia="zh-CN"/>
              </w:rPr>
              <w:t>全县妇女儿童及行政事业单位职工讲座开展率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≧90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时效指标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eastAsia="zh-CN"/>
              </w:rPr>
              <w:t>家风、家教、家庭教育宣传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w w:val="90"/>
                <w:sz w:val="21"/>
                <w:szCs w:val="21"/>
                <w:lang w:val="en-US" w:eastAsia="zh-CN"/>
              </w:rPr>
              <w:t>按期完成率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生态环境普及全民参与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益指标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lang w:eastAsia="zh-CN"/>
              </w:rPr>
              <w:t>调解家庭矛盾，维护家庭和谐，促进社会稳定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优化经济发展环境，改善服务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0" w:type="auto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5" w:type="default"/>
          <w:footerReference r:id="rId6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周元媛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联系电话：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07467723511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单位负责人签</w:t>
      </w:r>
    </w:p>
    <w:p/>
    <w:sectPr>
      <w:footerReference r:id="rId7" w:type="default"/>
      <w:footerReference r:id="rId8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v67+xyAEAAHo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CfwQ9JywEAAHo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M2WTLJAQAAegMAAA4AAABkcnMv&#10;ZTJvRG9jLnhtbK1TS44TMRDdI3EHy3viTiR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ozZZMs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AZr/wIywEAAHo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D0CE5"/>
    <w:multiLevelType w:val="singleLevel"/>
    <w:tmpl w:val="C45D0C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7370ED0"/>
    <w:multiLevelType w:val="singleLevel"/>
    <w:tmpl w:val="D7370ED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B3D58B"/>
    <w:multiLevelType w:val="singleLevel"/>
    <w:tmpl w:val="24B3D5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40114F"/>
    <w:multiLevelType w:val="singleLevel"/>
    <w:tmpl w:val="7C40114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OTczNmU5ZjQyZDQzOTg4ZDY3YjA5YTc3MzczZTcifQ=="/>
    <w:docVar w:name="KSO_WPS_MARK_KEY" w:val="22722966-ce3c-40b3-932b-424b2a0c69da"/>
  </w:docVars>
  <w:rsids>
    <w:rsidRoot w:val="00172A27"/>
    <w:rsid w:val="00EF5BA2"/>
    <w:rsid w:val="051A51B8"/>
    <w:rsid w:val="05856AD5"/>
    <w:rsid w:val="08202228"/>
    <w:rsid w:val="08955281"/>
    <w:rsid w:val="0A2B4F50"/>
    <w:rsid w:val="0CCE5073"/>
    <w:rsid w:val="0F8E2A2A"/>
    <w:rsid w:val="101F3C57"/>
    <w:rsid w:val="105E064F"/>
    <w:rsid w:val="110411F6"/>
    <w:rsid w:val="136441CE"/>
    <w:rsid w:val="14C8078D"/>
    <w:rsid w:val="154B3473"/>
    <w:rsid w:val="15B02F86"/>
    <w:rsid w:val="19FF69FF"/>
    <w:rsid w:val="1A8213DE"/>
    <w:rsid w:val="1B7156DA"/>
    <w:rsid w:val="1BCE59A7"/>
    <w:rsid w:val="1D5E5630"/>
    <w:rsid w:val="1F9C1D8C"/>
    <w:rsid w:val="20BA3D5C"/>
    <w:rsid w:val="20FE29CD"/>
    <w:rsid w:val="210668C5"/>
    <w:rsid w:val="210C7C53"/>
    <w:rsid w:val="213827F6"/>
    <w:rsid w:val="24756501"/>
    <w:rsid w:val="271D5156"/>
    <w:rsid w:val="279D7857"/>
    <w:rsid w:val="2AF82401"/>
    <w:rsid w:val="2B4D4487"/>
    <w:rsid w:val="308710A4"/>
    <w:rsid w:val="31EF3498"/>
    <w:rsid w:val="33457B5A"/>
    <w:rsid w:val="33582884"/>
    <w:rsid w:val="33DC5263"/>
    <w:rsid w:val="33EA0D37"/>
    <w:rsid w:val="35123632"/>
    <w:rsid w:val="35F25212"/>
    <w:rsid w:val="36D668E1"/>
    <w:rsid w:val="375A3F72"/>
    <w:rsid w:val="38EA5012"/>
    <w:rsid w:val="3986639D"/>
    <w:rsid w:val="3C2B322B"/>
    <w:rsid w:val="3DFB432B"/>
    <w:rsid w:val="3E040AAE"/>
    <w:rsid w:val="40093884"/>
    <w:rsid w:val="404E1296"/>
    <w:rsid w:val="41A60F90"/>
    <w:rsid w:val="42072045"/>
    <w:rsid w:val="42770F78"/>
    <w:rsid w:val="437042B4"/>
    <w:rsid w:val="43D25C86"/>
    <w:rsid w:val="446C2633"/>
    <w:rsid w:val="45154A79"/>
    <w:rsid w:val="46B24447"/>
    <w:rsid w:val="47FF7E2A"/>
    <w:rsid w:val="4A7E5437"/>
    <w:rsid w:val="4B490F32"/>
    <w:rsid w:val="4B564457"/>
    <w:rsid w:val="4C115F9A"/>
    <w:rsid w:val="4C575977"/>
    <w:rsid w:val="4DF30F3A"/>
    <w:rsid w:val="4E8B7C40"/>
    <w:rsid w:val="4F1637A4"/>
    <w:rsid w:val="500F1BD2"/>
    <w:rsid w:val="517174DB"/>
    <w:rsid w:val="51C40746"/>
    <w:rsid w:val="528F5E6A"/>
    <w:rsid w:val="543E6CC0"/>
    <w:rsid w:val="54815C87"/>
    <w:rsid w:val="54BF21C4"/>
    <w:rsid w:val="55412274"/>
    <w:rsid w:val="55C03679"/>
    <w:rsid w:val="57C446E9"/>
    <w:rsid w:val="57E9601D"/>
    <w:rsid w:val="58820FB8"/>
    <w:rsid w:val="5ABA52A9"/>
    <w:rsid w:val="5BD575CE"/>
    <w:rsid w:val="5C8E01AF"/>
    <w:rsid w:val="5F9745B0"/>
    <w:rsid w:val="62BE6D8B"/>
    <w:rsid w:val="62C751AC"/>
    <w:rsid w:val="64E742EF"/>
    <w:rsid w:val="66CD2666"/>
    <w:rsid w:val="684B0AD7"/>
    <w:rsid w:val="6A136F29"/>
    <w:rsid w:val="6E351362"/>
    <w:rsid w:val="6E8403F6"/>
    <w:rsid w:val="6FC75452"/>
    <w:rsid w:val="708B5A6B"/>
    <w:rsid w:val="73F97190"/>
    <w:rsid w:val="75073918"/>
    <w:rsid w:val="771A18F7"/>
    <w:rsid w:val="7B0E1773"/>
    <w:rsid w:val="7D1A668E"/>
    <w:rsid w:val="7E991F23"/>
    <w:rsid w:val="7EB5519D"/>
    <w:rsid w:val="7F5C4FCD"/>
    <w:rsid w:val="FFF1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toc 2"/>
    <w:basedOn w:val="1"/>
    <w:next w:val="1"/>
    <w:qFormat/>
    <w:uiPriority w:val="0"/>
    <w:pPr>
      <w:ind w:left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5559</Words>
  <Characters>6406</Characters>
  <Lines>0</Lines>
  <Paragraphs>0</Paragraphs>
  <TotalTime>0</TotalTime>
  <ScaleCrop>false</ScaleCrop>
  <LinksUpToDate>false</LinksUpToDate>
  <CharactersWithSpaces>6834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2025-06-18T10:29:00Z</cp:lastPrinted>
  <dcterms:modified xsi:type="dcterms:W3CDTF">2025-09-15T17:16:35Z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57EAEA22EB574741ABECE7F8FB376F03_13</vt:lpwstr>
  </property>
</Properties>
</file>