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FE2B6">
      <w:pPr>
        <w:keepNext w:val="0"/>
        <w:keepLines w:val="0"/>
        <w:widowControl/>
        <w:suppressLineNumbers w:val="0"/>
        <w:spacing w:before="0" w:beforeLines="0" w:beforeAutospacing="0" w:after="0" w:afterLines="0" w:afterAutospacing="0" w:line="540" w:lineRule="exact"/>
        <w:ind w:left="0" w:right="0"/>
        <w:jc w:val="left"/>
        <w:rPr>
          <w:rFonts w:hint="eastAsia" w:ascii="黑体" w:hAnsi="宋体" w:eastAsia="黑体" w:cs="黑体"/>
          <w:kern w:val="2"/>
          <w:sz w:val="32"/>
          <w:szCs w:val="32"/>
        </w:rPr>
      </w:pPr>
    </w:p>
    <w:p w14:paraId="7F7C8F5D">
      <w:pPr>
        <w:keepNext w:val="0"/>
        <w:keepLines w:val="0"/>
        <w:widowControl/>
        <w:suppressLineNumbers w:val="0"/>
        <w:spacing w:before="0" w:beforeLines="0" w:beforeAutospacing="0" w:after="0" w:afterLines="0" w:afterAutospacing="0" w:line="540" w:lineRule="exact"/>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250DFB5F">
      <w:pPr>
        <w:keepNext w:val="0"/>
        <w:keepLines w:val="0"/>
        <w:widowControl/>
        <w:suppressLineNumbers w:val="0"/>
        <w:spacing w:before="0" w:beforeLines="0" w:beforeAutospacing="0" w:after="0" w:afterLines="0" w:afterAutospacing="0" w:line="540" w:lineRule="exact"/>
        <w:ind w:left="0" w:right="0"/>
        <w:jc w:val="left"/>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附件1</w:t>
      </w:r>
    </w:p>
    <w:p w14:paraId="5CF2A87B">
      <w:pPr>
        <w:keepNext w:val="0"/>
        <w:keepLines w:val="0"/>
        <w:widowControl w:val="0"/>
        <w:suppressLineNumbers w:val="0"/>
        <w:spacing w:before="0" w:beforeLines="0" w:beforeAutospacing="0" w:after="0" w:afterLines="0" w:afterAutospacing="0"/>
        <w:ind w:left="0" w:right="0"/>
        <w:jc w:val="center"/>
        <w:outlineLvl w:val="1"/>
        <w:rPr>
          <w:rFonts w:hint="default" w:ascii="方正小标宋简体" w:hAnsi="Times New Roman" w:eastAsia="方正小标宋简体" w:cs="Times New Roman"/>
          <w:kern w:val="2"/>
          <w:sz w:val="52"/>
          <w:szCs w:val="52"/>
        </w:rPr>
      </w:pPr>
      <w:r>
        <w:rPr>
          <w:rFonts w:hint="default" w:ascii="方正小标宋简体" w:hAnsi="方正小标宋简体" w:eastAsia="方正小标宋简体" w:cs="方正小标宋简体"/>
          <w:kern w:val="2"/>
          <w:sz w:val="52"/>
          <w:szCs w:val="52"/>
          <w:lang w:val="en-US" w:eastAsia="zh-CN" w:bidi="ar"/>
        </w:rPr>
        <w:t>2024年度双牌县乡镇财政管理局部门（单位）整体支出</w:t>
      </w:r>
    </w:p>
    <w:p w14:paraId="3EB3F41F">
      <w:pPr>
        <w:keepNext w:val="0"/>
        <w:keepLines w:val="0"/>
        <w:widowControl w:val="0"/>
        <w:suppressLineNumbers w:val="0"/>
        <w:spacing w:before="0" w:beforeLines="0" w:beforeAutospacing="0" w:after="0" w:afterLines="0" w:afterAutospacing="0"/>
        <w:ind w:left="0" w:right="0"/>
        <w:jc w:val="center"/>
        <w:outlineLvl w:val="1"/>
        <w:rPr>
          <w:rFonts w:hint="default" w:ascii="方正小标宋简体" w:hAnsi="Times New Roman" w:eastAsia="方正小标宋简体" w:cs="Times New Roman"/>
          <w:kern w:val="2"/>
          <w:sz w:val="52"/>
          <w:szCs w:val="52"/>
        </w:rPr>
      </w:pPr>
      <w:r>
        <w:rPr>
          <w:rFonts w:hint="default" w:ascii="方正小标宋简体" w:hAnsi="方正小标宋简体" w:eastAsia="方正小标宋简体" w:cs="方正小标宋简体"/>
          <w:kern w:val="2"/>
          <w:sz w:val="52"/>
          <w:szCs w:val="52"/>
          <w:lang w:val="en-US" w:eastAsia="zh-CN" w:bidi="ar"/>
        </w:rPr>
        <w:t>绩效自评报告</w:t>
      </w:r>
    </w:p>
    <w:p w14:paraId="3BA063D0">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9EF2207">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13EF1DE7">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EFF7D43">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D1B8CD2">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4DAB2849">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CEDF5E7">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CD8767D">
      <w:pPr>
        <w:keepNext w:val="0"/>
        <w:keepLines w:val="0"/>
        <w:widowControl w:val="0"/>
        <w:suppressLineNumbers w:val="0"/>
        <w:spacing w:before="0" w:beforeLines="0" w:beforeAutospacing="0" w:after="0" w:afterLines="0" w:afterAutospacing="0" w:line="600" w:lineRule="exact"/>
        <w:ind w:left="0" w:right="0" w:firstLine="1920" w:firstLineChars="600"/>
        <w:jc w:val="both"/>
        <w:rPr>
          <w:rFonts w:hint="default" w:ascii="Times New Roman" w:hAnsi="Times New Roman" w:eastAsia="仿宋_GB2312" w:cs="Times New Roman"/>
          <w:kern w:val="2"/>
          <w:sz w:val="32"/>
          <w:szCs w:val="32"/>
          <w:u w:val="single"/>
        </w:rPr>
      </w:pPr>
      <w:r>
        <w:rPr>
          <w:rFonts w:hint="default" w:ascii="仿宋_GB2312" w:hAnsi="Times New Roman" w:eastAsia="仿宋_GB2312" w:cs="仿宋_GB2312"/>
          <w:kern w:val="2"/>
          <w:sz w:val="32"/>
          <w:szCs w:val="32"/>
          <w:lang w:val="en-US" w:eastAsia="zh-CN" w:bidi="ar"/>
        </w:rPr>
        <w:t>单位名称（盖章）：</w:t>
      </w:r>
      <w:r>
        <w:rPr>
          <w:rFonts w:hint="default" w:ascii="Times New Roman" w:hAnsi="Times New Roman" w:eastAsia="仿宋_GB2312" w:cs="Times New Roman"/>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双牌乡镇财政管理局</w:t>
      </w:r>
    </w:p>
    <w:p w14:paraId="5CA4F3B6">
      <w:pPr>
        <w:keepNext w:val="0"/>
        <w:keepLines w:val="0"/>
        <w:widowControl w:val="0"/>
        <w:suppressLineNumbers w:val="0"/>
        <w:spacing w:before="0" w:beforeLines="0" w:beforeAutospacing="0" w:after="0" w:afterLines="0" w:afterAutospacing="0" w:line="600" w:lineRule="exact"/>
        <w:ind w:left="0" w:right="0" w:firstLine="3200" w:firstLineChars="1000"/>
        <w:jc w:val="both"/>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 xml:space="preserve"> </w:t>
      </w:r>
    </w:p>
    <w:p w14:paraId="12AB32BD">
      <w:pPr>
        <w:keepNext w:val="0"/>
        <w:keepLines w:val="0"/>
        <w:widowControl w:val="0"/>
        <w:suppressLineNumbers w:val="0"/>
        <w:spacing w:before="0" w:beforeLines="0" w:beforeAutospacing="0" w:after="0" w:afterLines="0" w:afterAutospacing="0" w:line="600" w:lineRule="exact"/>
        <w:ind w:left="0" w:right="0"/>
        <w:jc w:val="center"/>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 xml:space="preserve">2025 </w:t>
      </w:r>
      <w:r>
        <w:rPr>
          <w:rFonts w:hint="default" w:ascii="楷体_GB2312" w:hAnsi="Times New Roman" w:eastAsia="楷体_GB2312" w:cs="楷体_GB2312"/>
          <w:kern w:val="2"/>
          <w:sz w:val="32"/>
          <w:szCs w:val="32"/>
          <w:lang w:val="en-US" w:eastAsia="zh-CN" w:bidi="ar"/>
        </w:rPr>
        <w:t>年</w:t>
      </w:r>
      <w:r>
        <w:rPr>
          <w:rFonts w:hint="default" w:ascii="Times New Roman" w:hAnsi="Times New Roman" w:eastAsia="楷体_GB2312" w:cs="Times New Roman"/>
          <w:kern w:val="2"/>
          <w:sz w:val="32"/>
          <w:szCs w:val="32"/>
          <w:lang w:val="en-US" w:eastAsia="zh-CN" w:bidi="ar"/>
        </w:rPr>
        <w:t xml:space="preserve"> 6 </w:t>
      </w:r>
      <w:r>
        <w:rPr>
          <w:rFonts w:hint="default" w:ascii="楷体_GB2312" w:hAnsi="Times New Roman" w:eastAsia="楷体_GB2312" w:cs="楷体_GB2312"/>
          <w:kern w:val="2"/>
          <w:sz w:val="32"/>
          <w:szCs w:val="32"/>
          <w:lang w:val="en-US" w:eastAsia="zh-CN" w:bidi="ar"/>
        </w:rPr>
        <w:t>月</w:t>
      </w:r>
      <w:r>
        <w:rPr>
          <w:rFonts w:hint="default" w:ascii="Times New Roman" w:hAnsi="Times New Roman" w:eastAsia="楷体_GB2312" w:cs="Times New Roman"/>
          <w:kern w:val="2"/>
          <w:sz w:val="32"/>
          <w:szCs w:val="32"/>
          <w:lang w:val="en-US" w:eastAsia="zh-CN" w:bidi="ar"/>
        </w:rPr>
        <w:t xml:space="preserve"> 16 </w:t>
      </w:r>
      <w:r>
        <w:rPr>
          <w:rFonts w:hint="default" w:ascii="楷体_GB2312" w:hAnsi="Times New Roman" w:eastAsia="楷体_GB2312" w:cs="楷体_GB2312"/>
          <w:kern w:val="2"/>
          <w:sz w:val="32"/>
          <w:szCs w:val="32"/>
          <w:lang w:val="en-US" w:eastAsia="zh-CN" w:bidi="ar"/>
        </w:rPr>
        <w:t>日</w:t>
      </w:r>
    </w:p>
    <w:p w14:paraId="3074E947">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270FCEA">
      <w:pPr>
        <w:keepNext w:val="0"/>
        <w:keepLines w:val="0"/>
        <w:widowControl w:val="0"/>
        <w:suppressLineNumbers w:val="0"/>
        <w:spacing w:before="0" w:beforeLines="0" w:beforeAutospacing="0" w:after="0" w:afterLines="0" w:afterAutospacing="0"/>
        <w:ind w:left="0" w:right="0"/>
        <w:jc w:val="center"/>
        <w:outlineLvl w:val="0"/>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（此页为封面）</w:t>
      </w:r>
    </w:p>
    <w:p w14:paraId="4F74C047">
      <w:pPr>
        <w:keepNext w:val="0"/>
        <w:keepLines w:val="0"/>
        <w:widowControl w:val="0"/>
        <w:numPr>
          <w:ilvl w:val="0"/>
          <w:numId w:val="1"/>
        </w:numPr>
        <w:suppressLineNumbers w:val="0"/>
        <w:spacing w:before="0" w:beforeLines="0" w:beforeAutospacing="0" w:after="0" w:afterLines="0" w:afterAutospacing="0" w:line="570" w:lineRule="exact"/>
        <w:ind w:left="640" w:right="0" w:firstLine="0"/>
        <w:jc w:val="both"/>
        <w:outlineLvl w:val="0"/>
        <w:rPr>
          <w:rFonts w:hint="default" w:ascii="Times New Roman" w:hAnsi="Times New Roman" w:eastAsia="黑体" w:cs="Times New Roman"/>
          <w:kern w:val="2"/>
          <w:sz w:val="32"/>
          <w:szCs w:val="32"/>
        </w:rPr>
      </w:pPr>
      <w:r>
        <w:rPr>
          <w:rFonts w:hint="default" w:ascii="Times New Roman" w:hAnsi="Times New Roman" w:eastAsia="仿宋_GB2312" w:cs="Times New Roman"/>
          <w:kern w:val="2"/>
          <w:sz w:val="32"/>
          <w:szCs w:val="32"/>
          <w:lang w:val="en-US" w:eastAsia="zh-CN" w:bidi="ar"/>
        </w:rPr>
        <w:br w:type="page"/>
      </w:r>
      <w:r>
        <w:rPr>
          <w:rFonts w:hint="eastAsia" w:ascii="黑体" w:hAnsi="宋体" w:eastAsia="黑体" w:cs="黑体"/>
          <w:kern w:val="2"/>
          <w:sz w:val="32"/>
          <w:szCs w:val="32"/>
          <w:lang w:val="en-US" w:eastAsia="zh-CN" w:bidi="ar"/>
        </w:rPr>
        <w:t>部门（单位）基本情况</w:t>
      </w:r>
    </w:p>
    <w:p w14:paraId="7F5FEA73">
      <w:pPr>
        <w:keepNext w:val="0"/>
        <w:keepLines w:val="0"/>
        <w:widowControl w:val="0"/>
        <w:suppressLineNumbers w:val="0"/>
        <w:shd w:val="clear" w:fill="FFFFFF"/>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shd w:val="clear" w:fill="FFFFFF"/>
        </w:rPr>
      </w:pPr>
      <w:r>
        <w:rPr>
          <w:rFonts w:hint="default" w:ascii="仿宋_GB2312" w:hAnsi="Times New Roman" w:eastAsia="仿宋_GB2312" w:cs="仿宋_GB2312"/>
          <w:kern w:val="2"/>
          <w:sz w:val="32"/>
          <w:szCs w:val="32"/>
          <w:shd w:val="clear" w:fill="FFFFFF"/>
          <w:lang w:val="en-US" w:eastAsia="zh-CN" w:bidi="ar"/>
        </w:rPr>
        <w:t>（一）部门（单位）职能职责、机构编制、人员构成等。</w:t>
      </w:r>
    </w:p>
    <w:p w14:paraId="47E54A4A">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1、职能职责</w:t>
      </w:r>
    </w:p>
    <w:p w14:paraId="1CC32BAE">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（1）贯彻执行国家有关乡镇财政管理的法律法规和方针；调查研究全县乡镇财政运行状况；研究全县乡镇财政管理政策，参与涉农财政政策的调研与制定。</w:t>
      </w:r>
    </w:p>
    <w:p w14:paraId="7359E8BD">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（2）负责乡镇财政决算编审工作。</w:t>
      </w:r>
    </w:p>
    <w:p w14:paraId="35CD2E27">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（3）负责全县乡镇财政资金的管理工作，指导全县财政所信息化工作管理和乡镇财政精细化工作管理。</w:t>
      </w:r>
    </w:p>
    <w:p w14:paraId="42D32A3F">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（4）负责指导全县“村帐乡代理”工作。</w:t>
      </w:r>
    </w:p>
    <w:p w14:paraId="43A232B2">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（5）负责全县省级“标兵”、“先进”财政所的创建工作；负责乡镇财政信息化建设和财政信息宣传工作，参与村组组织财务人员培训工作。</w:t>
      </w:r>
    </w:p>
    <w:p w14:paraId="49DE57FB">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（6）负责组织全县乡镇财政干部的业务培训。指导乡镇财政不断改进工作，提高服务水平。</w:t>
      </w:r>
    </w:p>
    <w:p w14:paraId="0773934B">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（7）负责全县涉农、惠农补贴资金“一卡通”打卡的审核、发放工作。</w:t>
      </w:r>
    </w:p>
    <w:p w14:paraId="14DE7B9E">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（8）指导乡镇债务管理，组织指导乡镇债权债务清理、统计、审查、化解等日常管理工作。</w:t>
      </w:r>
    </w:p>
    <w:p w14:paraId="0A0F8739">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（9）参与农村综合改革的组织和实施，协助做好农村综合改革相关工作。</w:t>
      </w:r>
    </w:p>
    <w:p w14:paraId="1A1CAD8A">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（10）承办县委、县政府和财政局党组交办的其他事项。</w:t>
      </w:r>
    </w:p>
    <w:p w14:paraId="0F7188BC">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2、机构编制、人员构成</w:t>
      </w:r>
    </w:p>
    <w:p w14:paraId="7976B189">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双牌县乡镇财政管理局属双牌县财政局下设全额拨款的副科级单位，核定编制74人，其中乡财局本级事业编8名，乡镇财政所12个，行政编制39人，参工工勤编23人，事业编制4人。</w:t>
      </w:r>
    </w:p>
    <w:p w14:paraId="515CEFC8">
      <w:pPr>
        <w:keepNext w:val="0"/>
        <w:keepLines w:val="0"/>
        <w:widowControl w:val="0"/>
        <w:suppressLineNumbers w:val="0"/>
        <w:spacing w:before="0" w:beforeLines="0" w:beforeAutospacing="0" w:after="0" w:afterLines="0" w:afterAutospacing="0" w:line="570" w:lineRule="exact"/>
        <w:ind w:left="0" w:right="0" w:firstLine="640" w:firstLineChars="200"/>
        <w:jc w:val="both"/>
        <w:outlineLvl w:val="1"/>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年末在职人数48数，其中乡财局本级在职5人，乡镇财政所12个，在职人数43人（其中行政行政编制人员23人，参公工勤编制人员8人，事业编制人员5人，财政所临时聘用人员7人），退休人员6人。</w:t>
      </w:r>
    </w:p>
    <w:p w14:paraId="4B9802CA">
      <w:pPr>
        <w:keepNext w:val="0"/>
        <w:keepLines w:val="0"/>
        <w:widowControl w:val="0"/>
        <w:numPr>
          <w:ilvl w:val="0"/>
          <w:numId w:val="2"/>
        </w:numPr>
        <w:suppressLineNumbers w:val="0"/>
        <w:spacing w:before="0" w:beforeLines="0" w:beforeAutospacing="0" w:after="0" w:afterLines="0" w:afterAutospacing="0"/>
        <w:ind w:left="0" w:right="0" w:firstLine="640" w:firstLineChars="200"/>
        <w:jc w:val="both"/>
        <w:rPr>
          <w:rFonts w:hint="default" w:ascii="Times New Roman" w:hAnsi="Times New Roman" w:eastAsia="仿宋_GB2312" w:cs="Times New Roman"/>
          <w:color w:val="000000"/>
          <w:kern w:val="2"/>
          <w:sz w:val="32"/>
          <w:szCs w:val="32"/>
        </w:rPr>
      </w:pPr>
      <w:r>
        <w:rPr>
          <w:rFonts w:hint="default" w:ascii="仿宋_GB2312" w:hAnsi="Times New Roman" w:eastAsia="仿宋_GB2312" w:cs="仿宋_GB2312"/>
          <w:kern w:val="2"/>
          <w:sz w:val="32"/>
          <w:szCs w:val="32"/>
          <w:lang w:val="en-US" w:eastAsia="zh-CN" w:bidi="ar"/>
        </w:rPr>
        <w:t>部门（单位）整体支出规模，</w:t>
      </w:r>
      <w:r>
        <w:rPr>
          <w:rFonts w:hint="default" w:ascii="仿宋_GB2312" w:hAnsi="Times New Roman" w:eastAsia="仿宋_GB2312" w:cs="仿宋_GB2312"/>
          <w:color w:val="000000"/>
          <w:kern w:val="2"/>
          <w:sz w:val="32"/>
          <w:szCs w:val="32"/>
          <w:lang w:val="en-US" w:eastAsia="zh-CN" w:bidi="ar"/>
        </w:rPr>
        <w:t>包括但不限于部门整体支出情况、部门预算收支决算情况及“三公经费”支出使用和管理情况。</w:t>
      </w:r>
    </w:p>
    <w:p w14:paraId="59B19680">
      <w:pPr>
        <w:keepNext w:val="0"/>
        <w:keepLines w:val="0"/>
        <w:widowControl w:val="0"/>
        <w:suppressLineNumbers w:val="0"/>
        <w:spacing w:before="0" w:beforeLines="0" w:beforeAutospacing="0" w:after="0" w:afterLines="0" w:afterAutospacing="0"/>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2024</w:t>
      </w:r>
      <w:r>
        <w:rPr>
          <w:rFonts w:hint="default" w:ascii="仿宋_GB2312" w:hAnsi="Times New Roman" w:eastAsia="仿宋_GB2312" w:cs="仿宋_GB2312"/>
          <w:color w:val="000000"/>
          <w:kern w:val="2"/>
          <w:sz w:val="32"/>
          <w:szCs w:val="32"/>
          <w:lang w:val="en-US" w:eastAsia="zh-CN" w:bidi="ar"/>
        </w:rPr>
        <w:t>年部门整体支出绩效目标的金额为</w:t>
      </w:r>
      <w:r>
        <w:rPr>
          <w:rFonts w:hint="default" w:ascii="Times New Roman" w:hAnsi="Times New Roman" w:eastAsia="仿宋_GB2312" w:cs="Times New Roman"/>
          <w:color w:val="000000"/>
          <w:kern w:val="2"/>
          <w:sz w:val="32"/>
          <w:szCs w:val="32"/>
          <w:lang w:val="en-US" w:eastAsia="zh-CN" w:bidi="ar"/>
        </w:rPr>
        <w:t>744.43</w:t>
      </w:r>
      <w:r>
        <w:rPr>
          <w:rFonts w:hint="default" w:ascii="仿宋_GB2312" w:hAnsi="Times New Roman" w:eastAsia="仿宋_GB2312" w:cs="仿宋_GB2312"/>
          <w:color w:val="000000"/>
          <w:kern w:val="2"/>
          <w:sz w:val="32"/>
          <w:szCs w:val="32"/>
          <w:lang w:val="en-US" w:eastAsia="zh-CN" w:bidi="ar"/>
        </w:rPr>
        <w:t>万元，其中，项目支出绩效目标金额</w:t>
      </w:r>
      <w:r>
        <w:rPr>
          <w:rFonts w:hint="default" w:ascii="Times New Roman" w:hAnsi="Times New Roman" w:eastAsia="仿宋_GB2312" w:cs="Times New Roman"/>
          <w:kern w:val="2"/>
          <w:sz w:val="32"/>
          <w:szCs w:val="32"/>
          <w:lang w:val="en-US" w:eastAsia="zh-CN" w:bidi="ar"/>
        </w:rPr>
        <w:t>237.78</w:t>
      </w:r>
      <w:r>
        <w:rPr>
          <w:rFonts w:hint="default" w:ascii="仿宋_GB2312" w:hAnsi="Times New Roman" w:eastAsia="仿宋_GB2312" w:cs="仿宋_GB2312"/>
          <w:color w:val="000000"/>
          <w:kern w:val="2"/>
          <w:sz w:val="32"/>
          <w:szCs w:val="32"/>
          <w:lang w:val="en-US" w:eastAsia="zh-CN" w:bidi="ar"/>
        </w:rPr>
        <w:t>万元。</w:t>
      </w:r>
    </w:p>
    <w:p w14:paraId="281DC6FF">
      <w:pPr>
        <w:pStyle w:val="4"/>
        <w:widowControl/>
        <w:spacing w:before="0" w:beforeLines="0" w:beforeAutospacing="0" w:after="0" w:afterLines="0" w:afterAutospacing="0" w:line="570" w:lineRule="exact"/>
        <w:ind w:left="0" w:right="0" w:firstLine="640"/>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rPr>
        <w:t>二、一般公共预算支出情况</w:t>
      </w:r>
    </w:p>
    <w:p w14:paraId="606AED55">
      <w:pPr>
        <w:pStyle w:val="4"/>
        <w:widowControl/>
        <w:spacing w:before="0" w:beforeLines="0" w:beforeAutospacing="0" w:after="0" w:afterLines="0" w:afterAutospacing="0" w:line="570" w:lineRule="exact"/>
        <w:ind w:left="0" w:right="0" w:firstLine="640"/>
        <w:outlineLvl w:val="1"/>
        <w:rPr>
          <w:rFonts w:hint="default" w:ascii="Times New Roman" w:hAnsi="Times New Roman" w:eastAsia="仿宋_GB2312" w:cs="Times New Roman"/>
          <w:kern w:val="0"/>
          <w:sz w:val="32"/>
          <w:szCs w:val="32"/>
        </w:rPr>
      </w:pPr>
      <w:r>
        <w:rPr>
          <w:rFonts w:hint="default" w:ascii="仿宋_GB2312" w:hAnsi="Times New Roman" w:eastAsia="仿宋_GB2312" w:cs="仿宋_GB2312"/>
          <w:kern w:val="0"/>
          <w:sz w:val="32"/>
          <w:szCs w:val="32"/>
        </w:rPr>
        <w:t>（一）基本支出情况</w:t>
      </w:r>
    </w:p>
    <w:p w14:paraId="47A89915">
      <w:pPr>
        <w:pStyle w:val="4"/>
        <w:widowControl/>
        <w:spacing w:before="0" w:beforeLines="0" w:beforeAutospacing="0" w:after="0" w:afterLines="0" w:afterAutospacing="0" w:line="570" w:lineRule="exact"/>
        <w:ind w:left="0" w:leftChars="0" w:right="0"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w:t>
      </w:r>
      <w:r>
        <w:rPr>
          <w:rFonts w:hint="default" w:ascii="仿宋_GB2312" w:hAnsi="Times New Roman" w:eastAsia="仿宋_GB2312" w:cs="仿宋_GB2312"/>
          <w:kern w:val="0"/>
          <w:sz w:val="32"/>
          <w:szCs w:val="32"/>
        </w:rPr>
        <w:t>年本部门基本支出预算</w:t>
      </w:r>
      <w:r>
        <w:rPr>
          <w:rFonts w:hint="default" w:ascii="Times New Roman" w:hAnsi="Times New Roman" w:eastAsia="仿宋_GB2312" w:cs="Times New Roman"/>
          <w:kern w:val="0"/>
          <w:sz w:val="32"/>
          <w:szCs w:val="32"/>
        </w:rPr>
        <w:t>506.66</w:t>
      </w:r>
      <w:r>
        <w:rPr>
          <w:rFonts w:hint="default" w:ascii="仿宋_GB2312" w:hAnsi="Times New Roman" w:eastAsia="仿宋_GB2312" w:cs="仿宋_GB2312"/>
          <w:kern w:val="0"/>
          <w:sz w:val="32"/>
          <w:szCs w:val="32"/>
        </w:rPr>
        <w:t>万元，主要是为保障部门正常运转、完成日常工作任务而发生的各项支出，主要包括：津贴补贴、奖金、职工基本养老保险缴费、职工基本医疗保险缴费、其他社会保障缴费、其他工资福利支出、办公费、印刷费、电费、邮电费、差旅费、维修（护）费、租赁费、会议费、培训费、公务接待费、劳务费、福利费、其他交通费用、其他商品和服务支出等。</w:t>
      </w:r>
    </w:p>
    <w:p w14:paraId="67162A21">
      <w:pPr>
        <w:pStyle w:val="4"/>
        <w:widowControl/>
        <w:numPr>
          <w:ilvl w:val="0"/>
          <w:numId w:val="3"/>
        </w:numPr>
        <w:spacing w:before="0" w:beforeLines="0" w:beforeAutospacing="0" w:after="0" w:afterLines="0" w:afterAutospacing="0" w:line="570" w:lineRule="exact"/>
        <w:ind w:left="0" w:leftChars="0" w:right="0" w:firstLine="640" w:firstLineChars="200"/>
        <w:outlineLvl w:val="1"/>
        <w:rPr>
          <w:rFonts w:hint="default" w:ascii="Times New Roman" w:hAnsi="Times New Roman" w:eastAsia="仿宋_GB2312" w:cs="Times New Roman"/>
          <w:kern w:val="0"/>
          <w:sz w:val="32"/>
          <w:szCs w:val="32"/>
        </w:rPr>
      </w:pPr>
      <w:r>
        <w:rPr>
          <w:rFonts w:hint="default" w:ascii="仿宋_GB2312" w:hAnsi="Times New Roman" w:eastAsia="仿宋_GB2312" w:cs="仿宋_GB2312"/>
          <w:kern w:val="0"/>
          <w:sz w:val="32"/>
          <w:szCs w:val="32"/>
        </w:rPr>
        <w:t>项目支出情况</w:t>
      </w:r>
    </w:p>
    <w:p w14:paraId="6DFF82EF">
      <w:pPr>
        <w:pStyle w:val="4"/>
        <w:widowControl/>
        <w:spacing w:before="0" w:beforeLines="0" w:beforeAutospacing="0" w:after="0" w:afterLines="0" w:afterAutospacing="0" w:line="570" w:lineRule="exact"/>
        <w:ind w:left="0" w:right="0"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w:t>
      </w:r>
      <w:r>
        <w:rPr>
          <w:rFonts w:hint="default" w:ascii="仿宋_GB2312" w:hAnsi="Times New Roman" w:eastAsia="仿宋_GB2312" w:cs="仿宋_GB2312"/>
          <w:kern w:val="0"/>
          <w:sz w:val="32"/>
          <w:szCs w:val="32"/>
        </w:rPr>
        <w:t>年本部门项目支出预算</w:t>
      </w:r>
      <w:r>
        <w:rPr>
          <w:rFonts w:hint="default" w:ascii="Times New Roman" w:hAnsi="Times New Roman" w:eastAsia="仿宋_GB2312" w:cs="Times New Roman"/>
          <w:kern w:val="0"/>
          <w:sz w:val="32"/>
          <w:szCs w:val="32"/>
        </w:rPr>
        <w:t>237.78</w:t>
      </w:r>
      <w:r>
        <w:rPr>
          <w:rFonts w:hint="default" w:ascii="仿宋_GB2312" w:hAnsi="Times New Roman" w:eastAsia="仿宋_GB2312" w:cs="仿宋_GB2312"/>
          <w:kern w:val="0"/>
          <w:sz w:val="32"/>
          <w:szCs w:val="32"/>
        </w:rPr>
        <w:t>万元，主要是部门为完成特定行政工作任务或事业发展目标而发生的支出，包括按项目管理的工资福利支出、按项目管理的商品和服务支出、资本性支出和其他支出。</w:t>
      </w:r>
    </w:p>
    <w:p w14:paraId="1460063A">
      <w:pPr>
        <w:pStyle w:val="4"/>
        <w:widowControl/>
        <w:spacing w:before="0" w:beforeLines="0" w:beforeAutospacing="0" w:after="0" w:afterLines="0" w:afterAutospacing="0" w:line="570" w:lineRule="exact"/>
        <w:ind w:left="0" w:right="0" w:firstLine="640"/>
        <w:jc w:val="left"/>
        <w:outlineLvl w:val="0"/>
        <w:rPr>
          <w:rFonts w:hint="eastAsia" w:ascii="Times New Roman" w:hAnsi="Times New Roman" w:eastAsia="黑体" w:cs="Times New Roman"/>
          <w:kern w:val="0"/>
          <w:sz w:val="32"/>
          <w:szCs w:val="32"/>
        </w:rPr>
      </w:pPr>
      <w:r>
        <w:rPr>
          <w:rFonts w:hint="eastAsia" w:ascii="黑体" w:hAnsi="宋体" w:eastAsia="黑体" w:cs="黑体"/>
          <w:kern w:val="0"/>
          <w:sz w:val="32"/>
          <w:szCs w:val="32"/>
        </w:rPr>
        <w:t>三、政府性基金预算支出情况。</w:t>
      </w:r>
    </w:p>
    <w:p w14:paraId="5025BD5A">
      <w:pPr>
        <w:pStyle w:val="4"/>
        <w:widowControl/>
        <w:spacing w:before="0" w:beforeLines="0" w:beforeAutospacing="0" w:after="0" w:afterLines="0" w:afterAutospacing="0" w:line="570" w:lineRule="exact"/>
        <w:ind w:left="0" w:right="0" w:firstLine="640"/>
        <w:jc w:val="left"/>
        <w:outlineLvl w:val="0"/>
        <w:rPr>
          <w:rFonts w:hint="default" w:ascii="Times New Roman" w:hAnsi="Times New Roman" w:eastAsia="仿宋_GB2312" w:cs="Times New Roman"/>
          <w:color w:val="000000"/>
          <w:kern w:val="0"/>
          <w:sz w:val="32"/>
          <w:szCs w:val="32"/>
        </w:rPr>
      </w:pPr>
      <w:r>
        <w:rPr>
          <w:rFonts w:hint="default" w:ascii="仿宋_GB2312" w:hAnsi="Times New Roman" w:eastAsia="仿宋_GB2312" w:cs="仿宋_GB2312"/>
          <w:color w:val="000000"/>
          <w:kern w:val="0"/>
          <w:sz w:val="32"/>
          <w:szCs w:val="32"/>
        </w:rPr>
        <w:t>我单位无政府性基金预算支出情况。</w:t>
      </w:r>
    </w:p>
    <w:p w14:paraId="20FC9F4E">
      <w:pPr>
        <w:pStyle w:val="4"/>
        <w:widowControl/>
        <w:numPr>
          <w:ilvl w:val="0"/>
          <w:numId w:val="4"/>
        </w:numPr>
        <w:spacing w:before="0" w:beforeLines="0" w:beforeAutospacing="0" w:after="0" w:afterLines="0" w:afterAutospacing="0" w:line="570" w:lineRule="exact"/>
        <w:ind w:left="0" w:right="0" w:firstLine="640"/>
        <w:jc w:val="left"/>
        <w:outlineLvl w:val="0"/>
        <w:rPr>
          <w:rFonts w:hint="eastAsia" w:ascii="Times New Roman" w:hAnsi="Times New Roman" w:eastAsia="黑体" w:cs="Times New Roman"/>
          <w:kern w:val="0"/>
          <w:sz w:val="32"/>
          <w:szCs w:val="32"/>
        </w:rPr>
      </w:pPr>
      <w:r>
        <w:rPr>
          <w:rFonts w:hint="eastAsia" w:ascii="黑体" w:hAnsi="宋体" w:eastAsia="黑体" w:cs="黑体"/>
          <w:kern w:val="0"/>
          <w:sz w:val="32"/>
          <w:szCs w:val="32"/>
        </w:rPr>
        <w:t>国有资本经营预算支出情况。</w:t>
      </w:r>
    </w:p>
    <w:p w14:paraId="360B201A">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kern w:val="0"/>
          <w:sz w:val="32"/>
          <w:szCs w:val="32"/>
        </w:rPr>
      </w:pPr>
      <w:r>
        <w:rPr>
          <w:rFonts w:hint="default" w:ascii="仿宋_GB2312" w:hAnsi="Times New Roman" w:eastAsia="仿宋_GB2312" w:cs="仿宋_GB2312"/>
          <w:color w:val="000000"/>
          <w:kern w:val="0"/>
          <w:sz w:val="32"/>
          <w:szCs w:val="32"/>
        </w:rPr>
        <w:t>我单位无国有资本经营预算支出情况。</w:t>
      </w:r>
    </w:p>
    <w:p w14:paraId="153E3965">
      <w:pPr>
        <w:pStyle w:val="4"/>
        <w:widowControl/>
        <w:numPr>
          <w:ilvl w:val="0"/>
          <w:numId w:val="4"/>
        </w:numPr>
        <w:spacing w:before="0" w:beforeLines="0" w:beforeAutospacing="0" w:after="0" w:afterLines="0" w:afterAutospacing="0" w:line="570" w:lineRule="exact"/>
        <w:ind w:left="0" w:leftChars="0" w:right="0" w:firstLine="640" w:firstLineChars="200"/>
        <w:jc w:val="left"/>
        <w:outlineLvl w:val="0"/>
        <w:rPr>
          <w:rFonts w:hint="eastAsia" w:ascii="Times New Roman" w:hAnsi="Times New Roman" w:eastAsia="黑体" w:cs="Times New Roman"/>
          <w:kern w:val="0"/>
          <w:sz w:val="32"/>
          <w:szCs w:val="32"/>
        </w:rPr>
      </w:pPr>
      <w:r>
        <w:rPr>
          <w:rFonts w:hint="eastAsia" w:ascii="黑体" w:hAnsi="宋体" w:eastAsia="黑体" w:cs="黑体"/>
          <w:kern w:val="0"/>
          <w:sz w:val="32"/>
          <w:szCs w:val="32"/>
        </w:rPr>
        <w:t>社会保险基金预算支出情况。</w:t>
      </w:r>
    </w:p>
    <w:p w14:paraId="3E30DCEE">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kern w:val="0"/>
          <w:sz w:val="32"/>
          <w:szCs w:val="32"/>
        </w:rPr>
      </w:pPr>
      <w:r>
        <w:rPr>
          <w:rFonts w:hint="default" w:ascii="仿宋_GB2312" w:hAnsi="Times New Roman" w:eastAsia="仿宋_GB2312" w:cs="仿宋_GB2312"/>
          <w:color w:val="000000"/>
          <w:kern w:val="0"/>
          <w:sz w:val="32"/>
          <w:szCs w:val="32"/>
        </w:rPr>
        <w:t>我单位无社会保险基金预算支出情况。</w:t>
      </w:r>
    </w:p>
    <w:p w14:paraId="72D6154C">
      <w:pPr>
        <w:keepNext w:val="0"/>
        <w:keepLines w:val="0"/>
        <w:widowControl w:val="0"/>
        <w:suppressLineNumbers w:val="0"/>
        <w:spacing w:before="0" w:beforeLines="0" w:beforeAutospacing="0" w:after="0" w:afterLines="0" w:afterAutospacing="0" w:line="570" w:lineRule="exact"/>
        <w:ind w:left="0" w:right="0" w:firstLine="645"/>
        <w:jc w:val="left"/>
        <w:outlineLvl w:val="0"/>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六、部门整体支出绩效情况</w:t>
      </w:r>
    </w:p>
    <w:p w14:paraId="4676C1F3">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仿宋_GB2312" w:hAnsi="Times New Roman" w:eastAsia="仿宋_GB2312" w:cs="仿宋_GB2312"/>
          <w:color w:val="000000"/>
          <w:kern w:val="0"/>
          <w:sz w:val="32"/>
          <w:szCs w:val="32"/>
        </w:rPr>
        <w:t>、细化预算编制工作，认真做好预算的编制。进一步加强内部的预算管理意识，严格按照预算编制的相关制度和要求进行预算编制；进一步提高预算编制的科学性、严谨性和可控性。加强内部预算编制的审核和预算控制指标的下达。</w:t>
      </w:r>
    </w:p>
    <w:p w14:paraId="263A6DED">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仿宋_GB2312" w:hAnsi="Times New Roman" w:eastAsia="仿宋_GB2312" w:cs="仿宋_GB2312"/>
          <w:color w:val="000000"/>
          <w:kern w:val="0"/>
          <w:sz w:val="32"/>
          <w:szCs w:val="32"/>
        </w:rPr>
        <w:t>、按照预算规定的费用项目和用途进行资金使用审核、列报支付、财务核算，杜绝超支现象的发生。</w:t>
      </w:r>
    </w:p>
    <w:p w14:paraId="42D8171B">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default" w:ascii="仿宋_GB2312" w:hAnsi="Times New Roman" w:eastAsia="仿宋_GB2312" w:cs="仿宋_GB2312"/>
          <w:color w:val="000000"/>
          <w:kern w:val="0"/>
          <w:sz w:val="32"/>
          <w:szCs w:val="32"/>
        </w:rPr>
        <w:t>、全县乡镇财政资金的监督管理；</w:t>
      </w:r>
    </w:p>
    <w:p w14:paraId="6AB7AAC1">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r>
        <w:rPr>
          <w:rFonts w:hint="default" w:ascii="仿宋_GB2312" w:hAnsi="Times New Roman" w:eastAsia="仿宋_GB2312" w:cs="仿宋_GB2312"/>
          <w:color w:val="000000"/>
          <w:kern w:val="0"/>
          <w:sz w:val="32"/>
          <w:szCs w:val="32"/>
        </w:rPr>
        <w:t>、指导全县财政所信息化工作管理和乡镇财政精细化工作管理。</w:t>
      </w:r>
    </w:p>
    <w:p w14:paraId="1A56219C">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r>
        <w:rPr>
          <w:rFonts w:hint="default" w:ascii="仿宋_GB2312" w:hAnsi="Times New Roman" w:eastAsia="仿宋_GB2312" w:cs="仿宋_GB2312"/>
          <w:color w:val="000000"/>
          <w:kern w:val="0"/>
          <w:sz w:val="32"/>
          <w:szCs w:val="32"/>
        </w:rPr>
        <w:t>、指导全县“村帐乡代理”工作；</w:t>
      </w:r>
    </w:p>
    <w:p w14:paraId="00601E25">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r>
        <w:rPr>
          <w:rFonts w:hint="default" w:ascii="仿宋_GB2312" w:hAnsi="Times New Roman" w:eastAsia="仿宋_GB2312" w:cs="仿宋_GB2312"/>
          <w:color w:val="000000"/>
          <w:kern w:val="0"/>
          <w:sz w:val="32"/>
          <w:szCs w:val="32"/>
        </w:rPr>
        <w:t>、何家洞镇“标兵”财政所的创建；</w:t>
      </w:r>
    </w:p>
    <w:p w14:paraId="4C258617">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w:t>
      </w:r>
      <w:r>
        <w:rPr>
          <w:rFonts w:hint="default" w:ascii="仿宋_GB2312" w:hAnsi="Times New Roman" w:eastAsia="仿宋_GB2312" w:cs="仿宋_GB2312"/>
          <w:color w:val="000000"/>
          <w:kern w:val="0"/>
          <w:sz w:val="32"/>
          <w:szCs w:val="32"/>
        </w:rPr>
        <w:t>、五里牌镇“先进”财政所的创建；</w:t>
      </w:r>
    </w:p>
    <w:p w14:paraId="359FC34A">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8</w:t>
      </w:r>
      <w:r>
        <w:rPr>
          <w:rFonts w:hint="default" w:ascii="仿宋_GB2312" w:hAnsi="Times New Roman" w:eastAsia="仿宋_GB2312" w:cs="仿宋_GB2312"/>
          <w:color w:val="000000"/>
          <w:kern w:val="0"/>
          <w:sz w:val="32"/>
          <w:szCs w:val="32"/>
        </w:rPr>
        <w:t>、组织全县乡镇财政干部的业务培训；</w:t>
      </w:r>
    </w:p>
    <w:p w14:paraId="73B06672">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w:t>
      </w:r>
      <w:r>
        <w:rPr>
          <w:rFonts w:hint="default" w:ascii="仿宋_GB2312" w:hAnsi="Times New Roman" w:eastAsia="仿宋_GB2312" w:cs="仿宋_GB2312"/>
          <w:color w:val="000000"/>
          <w:kern w:val="0"/>
          <w:sz w:val="32"/>
          <w:szCs w:val="32"/>
        </w:rPr>
        <w:t>、全县惠民惠农补贴“一卡通”发放工作的管理。</w:t>
      </w:r>
    </w:p>
    <w:p w14:paraId="597E3F80">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10</w:t>
      </w:r>
      <w:r>
        <w:rPr>
          <w:rFonts w:hint="default" w:ascii="仿宋_GB2312" w:hAnsi="Times New Roman" w:eastAsia="仿宋_GB2312" w:cs="仿宋_GB2312"/>
          <w:color w:val="000000"/>
          <w:kern w:val="0"/>
          <w:sz w:val="32"/>
          <w:szCs w:val="32"/>
        </w:rPr>
        <w:t>、为改善财政所办公条件及财政所工作人员生活条件，更好地为人民群众服务，拟采购一批台式电脑、打印机、便携式电脑、空调、热水器、办公桌椅等。</w:t>
      </w:r>
    </w:p>
    <w:p w14:paraId="333063C3">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11</w:t>
      </w:r>
      <w:r>
        <w:rPr>
          <w:rFonts w:hint="default" w:ascii="仿宋_GB2312" w:hAnsi="Times New Roman" w:eastAsia="仿宋_GB2312" w:cs="仿宋_GB2312"/>
          <w:color w:val="000000"/>
          <w:kern w:val="0"/>
          <w:sz w:val="32"/>
          <w:szCs w:val="32"/>
        </w:rPr>
        <w:t>、严格把关“三公”经费支出的审核、审批，进一步细化“三公”经费的管理，合理压缩“三公”经费支出。</w:t>
      </w:r>
    </w:p>
    <w:p w14:paraId="312E4A91">
      <w:pPr>
        <w:pStyle w:val="4"/>
        <w:widowControl/>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12</w:t>
      </w:r>
      <w:r>
        <w:rPr>
          <w:rFonts w:hint="default" w:ascii="仿宋_GB2312" w:hAnsi="Times New Roman" w:eastAsia="仿宋_GB2312" w:cs="仿宋_GB2312"/>
          <w:color w:val="000000"/>
          <w:kern w:val="0"/>
          <w:sz w:val="32"/>
          <w:szCs w:val="32"/>
        </w:rPr>
        <w:t>、加强项目开展进度的跟踪，开展项目绩效评价，确保项目绩效目标的完成。</w:t>
      </w:r>
    </w:p>
    <w:p w14:paraId="3E4C26FD">
      <w:pPr>
        <w:pStyle w:val="4"/>
        <w:widowControl/>
        <w:spacing w:before="0" w:beforeLines="0" w:beforeAutospacing="0" w:after="0" w:afterLines="0" w:afterAutospacing="0" w:line="570" w:lineRule="exact"/>
        <w:ind w:left="0" w:right="0" w:firstLine="640"/>
        <w:jc w:val="left"/>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rPr>
        <w:t>七、存在的问题及原因分析</w:t>
      </w:r>
    </w:p>
    <w:p w14:paraId="732082A1">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default" w:ascii="仿宋_GB2312" w:hAnsi="Times New Roman" w:eastAsia="仿宋_GB2312" w:cs="仿宋_GB2312"/>
          <w:color w:val="000000"/>
          <w:kern w:val="2"/>
          <w:sz w:val="32"/>
          <w:szCs w:val="32"/>
          <w:lang w:val="en-US" w:eastAsia="zh-CN" w:bidi="ar"/>
        </w:rPr>
        <w:t>、基层财政干部队伍综合素质有待提高。原因在于财务业务更新换代快，人员流动大，业务水平需要加强。</w:t>
      </w:r>
    </w:p>
    <w:p w14:paraId="01CA4525">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default" w:ascii="仿宋_GB2312" w:hAnsi="Times New Roman" w:eastAsia="仿宋_GB2312" w:cs="仿宋_GB2312"/>
          <w:color w:val="000000"/>
          <w:kern w:val="2"/>
          <w:sz w:val="32"/>
          <w:szCs w:val="32"/>
          <w:lang w:val="en-US" w:eastAsia="zh-CN" w:bidi="ar"/>
        </w:rPr>
        <w:t>、预算编制不够明确和细化，部分科目年初预算与年底决算相差较大。</w:t>
      </w:r>
    </w:p>
    <w:p w14:paraId="0DBCBFDE">
      <w:pPr>
        <w:keepNext w:val="0"/>
        <w:keepLines w:val="0"/>
        <w:widowControl w:val="0"/>
        <w:suppressLineNumbers w:val="0"/>
        <w:spacing w:before="0" w:beforeLines="0" w:beforeAutospacing="0" w:after="0" w:afterLines="0" w:afterAutospacing="0" w:line="570" w:lineRule="exact"/>
        <w:ind w:left="638" w:leftChars="304" w:right="0" w:firstLine="0" w:firstLineChars="0"/>
        <w:jc w:val="left"/>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default" w:ascii="仿宋_GB2312" w:hAnsi="Times New Roman" w:eastAsia="仿宋_GB2312" w:cs="仿宋_GB2312"/>
          <w:color w:val="000000"/>
          <w:kern w:val="2"/>
          <w:sz w:val="32"/>
          <w:szCs w:val="32"/>
          <w:lang w:val="en-US" w:eastAsia="zh-CN" w:bidi="ar"/>
        </w:rPr>
        <w:t>、内部财务管理制度有待完善。原因在于制度不完善。</w:t>
      </w:r>
    </w:p>
    <w:p w14:paraId="5E59EF9D">
      <w:pPr>
        <w:keepNext w:val="0"/>
        <w:keepLines w:val="0"/>
        <w:widowControl w:val="0"/>
        <w:suppressLineNumbers w:val="0"/>
        <w:spacing w:before="0" w:beforeLines="0" w:beforeAutospacing="0" w:after="0" w:afterLines="0" w:afterAutospacing="0" w:line="570" w:lineRule="exact"/>
        <w:ind w:left="638" w:leftChars="304" w:right="0" w:firstLine="0" w:firstLineChars="0"/>
        <w:jc w:val="left"/>
        <w:outlineLvl w:val="0"/>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八、下一步改进措施</w:t>
      </w:r>
    </w:p>
    <w:p w14:paraId="090295F4">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default" w:ascii="仿宋_GB2312" w:hAnsi="Times New Roman" w:eastAsia="仿宋_GB2312" w:cs="仿宋_GB2312"/>
          <w:color w:val="000000"/>
          <w:kern w:val="2"/>
          <w:sz w:val="32"/>
          <w:szCs w:val="32"/>
          <w:lang w:val="en-US" w:eastAsia="zh-CN" w:bidi="ar"/>
        </w:rPr>
        <w:t>、解决思想不稳问题。一是信仰和价值观培训。要通过学习二十大精神、</w:t>
      </w:r>
      <w:bookmarkStart w:id="0" w:name="_GoBack"/>
      <w:bookmarkEnd w:id="0"/>
      <w:r>
        <w:rPr>
          <w:rFonts w:hint="eastAsia" w:ascii="仿宋_GB2312" w:hAnsi="Times New Roman" w:eastAsia="仿宋_GB2312" w:cs="仿宋_GB2312"/>
          <w:color w:val="000000"/>
          <w:kern w:val="2"/>
          <w:sz w:val="32"/>
          <w:szCs w:val="32"/>
          <w:lang w:val="en-US" w:eastAsia="zh-CN" w:bidi="ar"/>
        </w:rPr>
        <w:t>习近平新时代中国特色社会主义思想</w:t>
      </w:r>
      <w:r>
        <w:rPr>
          <w:rFonts w:hint="default" w:ascii="仿宋_GB2312" w:hAnsi="Times New Roman" w:eastAsia="仿宋_GB2312" w:cs="仿宋_GB2312"/>
          <w:color w:val="000000"/>
          <w:kern w:val="2"/>
          <w:sz w:val="32"/>
          <w:szCs w:val="32"/>
          <w:lang w:val="en-US" w:eastAsia="zh-CN" w:bidi="ar"/>
        </w:rPr>
        <w:t>等政治思想方面的培训，坚定基层财政人员对党的信仰，树立正确的价值观、人生观；通过先进典型的事例激励财政所人员坚定扎根基层从事财政工作信心；与此同时通过反面警示教育让财政所人员警钟长鸣、防微杜渐，筑牢思想防线，严守纪律规矩，确保财政人员和财政资金双安全二是职业素质培训。通过职业素质培训，让</w:t>
      </w:r>
      <w:r>
        <w:rPr>
          <w:rFonts w:hint="default" w:ascii="Times New Roman"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廉洁从政、为民理财</w:t>
      </w:r>
      <w:r>
        <w:rPr>
          <w:rFonts w:hint="default" w:ascii="Times New Roman"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的财政文化根植到所有财政干部职工心底最深处。</w:t>
      </w:r>
    </w:p>
    <w:p w14:paraId="169C9EFD">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default" w:ascii="仿宋_GB2312" w:hAnsi="Times New Roman" w:eastAsia="仿宋_GB2312" w:cs="仿宋_GB2312"/>
          <w:color w:val="000000"/>
          <w:kern w:val="2"/>
          <w:sz w:val="32"/>
          <w:szCs w:val="32"/>
          <w:lang w:val="en-US" w:eastAsia="zh-CN" w:bidi="ar"/>
        </w:rPr>
        <w:t>、解决业务不精问题。一是业务知识培训。邀请业务专家上政府会计实操、预算一体化实操、村级财务和社账账务管理等财务知识课；二是财务制度培训。汇编相关的财政政策和财务制度，作为培训课件解读；三是难点解答。邀请专业人士来解答平时工作中的难点、凝点，达到事半功倍效果；四是经验介绍。请先进财政所介绍乡镇财政管理典型经验、谈他们的工作体会等；五交流学习。组织基层财政人员与全省其他市、县交流学习乡镇财政管理工作，拓宽视野、取长补短、促进业务提升。</w:t>
      </w:r>
    </w:p>
    <w:p w14:paraId="26C8FD82">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default" w:ascii="仿宋_GB2312" w:hAnsi="Times New Roman" w:eastAsia="仿宋_GB2312" w:cs="仿宋_GB2312"/>
          <w:color w:val="000000"/>
          <w:kern w:val="2"/>
          <w:sz w:val="32"/>
          <w:szCs w:val="32"/>
          <w:lang w:val="en-US" w:eastAsia="zh-CN" w:bidi="ar"/>
        </w:rPr>
        <w:t>、细化预算编制工作，认真做好预算的编制。进一步加强内设机构的预算管理意识，严格按照预算编制的相关制度和要求进行预算编制。</w:t>
      </w:r>
    </w:p>
    <w:p w14:paraId="3DAE65CF">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4</w:t>
      </w:r>
      <w:r>
        <w:rPr>
          <w:rFonts w:hint="default" w:ascii="仿宋_GB2312" w:hAnsi="Times New Roman" w:eastAsia="仿宋_GB2312" w:cs="仿宋_GB2312"/>
          <w:color w:val="000000"/>
          <w:kern w:val="2"/>
          <w:sz w:val="32"/>
          <w:szCs w:val="32"/>
          <w:lang w:val="en-US" w:eastAsia="zh-CN" w:bidi="ar"/>
        </w:rPr>
        <w:t>、严格编制政府采购年初预算和计划，规范各类资产的购置审批制度、资产采购制度、使用管理制度、资产处置和报废审批制度、资产管理岗位职责制度等。</w:t>
      </w:r>
    </w:p>
    <w:p w14:paraId="29A99416">
      <w:pPr>
        <w:keepNext w:val="0"/>
        <w:keepLines w:val="0"/>
        <w:widowControl w:val="0"/>
        <w:suppressLineNumbers w:val="0"/>
        <w:spacing w:before="0" w:beforeLines="0" w:beforeAutospacing="0" w:after="0" w:afterLines="0" w:afterAutospacing="0" w:line="570" w:lineRule="exact"/>
        <w:ind w:left="0" w:right="0" w:firstLine="645"/>
        <w:jc w:val="left"/>
        <w:outlineLvl w:val="0"/>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九、部门整体支出绩效自评结果拟应用和公开情况</w:t>
      </w:r>
    </w:p>
    <w:p w14:paraId="36358E7C">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其他需要说明的情况</w:t>
      </w:r>
    </w:p>
    <w:p w14:paraId="2B831DCF">
      <w:pPr>
        <w:keepNext w:val="0"/>
        <w:keepLines w:val="0"/>
        <w:widowControl w:val="0"/>
        <w:suppressLineNumbers w:val="0"/>
        <w:spacing w:before="0" w:beforeLines="0" w:beforeAutospacing="0" w:after="0" w:afterLines="0" w:afterAutospacing="0" w:line="570" w:lineRule="exact"/>
        <w:ind w:left="0" w:right="0" w:firstLine="640" w:firstLineChars="200"/>
        <w:jc w:val="left"/>
        <w:outlineLvl w:val="0"/>
      </w:pPr>
      <w:r>
        <w:rPr>
          <w:rFonts w:hint="default" w:ascii="仿宋_GB2312" w:hAnsi="Times New Roman" w:eastAsia="仿宋_GB2312" w:cs="仿宋_GB2312"/>
          <w:color w:val="000000"/>
          <w:kern w:val="2"/>
          <w:sz w:val="32"/>
          <w:szCs w:val="32"/>
          <w:lang w:val="en-US" w:eastAsia="zh-CN" w:bidi="ar"/>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65C25"/>
    <w:multiLevelType w:val="multilevel"/>
    <w:tmpl w:val="A1665C25"/>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9A3A141"/>
    <w:multiLevelType w:val="multilevel"/>
    <w:tmpl w:val="C9A3A141"/>
    <w:lvl w:ilvl="0" w:tentative="0">
      <w:start w:val="1"/>
      <w:numFmt w:val="chineseCounting"/>
      <w:suff w:val="nothing"/>
      <w:lvlText w:val="%1、"/>
      <w:lvlJc w:val="left"/>
      <w:pPr>
        <w:ind w:left="640" w:firstLine="0"/>
      </w:p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2">
    <w:nsid w:val="CBE4A668"/>
    <w:multiLevelType w:val="multilevel"/>
    <w:tmpl w:val="CBE4A668"/>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8ECF4C4"/>
    <w:multiLevelType w:val="multilevel"/>
    <w:tmpl w:val="08ECF4C4"/>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75FBC"/>
    <w:rsid w:val="047D558A"/>
    <w:rsid w:val="05D7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hidden/>
    <w:uiPriority w:val="0"/>
    <w:pPr>
      <w:keepNext w:val="0"/>
      <w:keepLines w:val="0"/>
      <w:widowControl w:val="0"/>
      <w:suppressLineNumbers w:val="0"/>
      <w:spacing w:beforeLines="0" w:beforeAutospacing="0" w:afterLines="0" w:afterAutospacing="0"/>
      <w:ind w:firstLine="420" w:firstLineChars="200"/>
      <w:jc w:val="both"/>
    </w:pPr>
    <w:rPr>
      <w:rFonts w:hint="default" w:ascii="Calibri" w:hAnsi="Calibri" w:eastAsia="Times New Roman" w:cs="Times New Roman"/>
      <w:kern w:val="0"/>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2313</Words>
  <Characters>2361</Characters>
  <Lines>1</Lines>
  <Paragraphs>1</Paragraphs>
  <TotalTime>0</TotalTime>
  <ScaleCrop>false</ScaleCrop>
  <LinksUpToDate>false</LinksUpToDate>
  <CharactersWithSpaces>2377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2025-11-27T02:54:00Z</dcterms:created>
  <dc:creator>星河</dc:creator>
  <cp:lastModifiedBy>syuu秀</cp:lastModifiedBy>
  <dcterms:modified xsi:type="dcterms:W3CDTF">2025-11-27T03:04:12Z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09828E706DF442FFA562C359169E3BEF_11</vt:lpwstr>
  </property>
  <property fmtid="{D5CDD505-2E9C-101B-9397-08002B2CF9AE}" pid="4" name="KSOTemplateDocerSaveRecord">
    <vt:lpwstr>eyJoZGlkIjoiMmZhYzdiOTdlYjU0NGU0NTE2NjllMTZjZmM1NzIwYmYiLCJ1c2VySWQiOiIzOTM2OTIzNDUifQ==</vt:lpwstr>
  </property>
</Properties>
</file>