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2024年度自然资源事务中心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整体支出绩效自评报告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960" w:firstLineChars="3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双牌县自然资源事务中心  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2025年6月18日</w:t>
      </w:r>
    </w:p>
    <w:p>
      <w:pPr>
        <w:jc w:val="center"/>
        <w:rPr>
          <w:rFonts w:hint="default" w:eastAsia="黑体"/>
          <w:sz w:val="32"/>
        </w:rPr>
      </w:pP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1、内设机构设置、人员构成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根据双牌县委机构编制委员会双编发[2020]21号文件核定，双牌县自然资源事务中心为副科级公益一类全额拨款事业单位；内设机构有：综合室、土地整治事务室、地矿事务室、生态修复事务室、权属纠纷协调事务一室、权属纠纷协调事务二室；编制人数23人，实际在职人数22人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2、职能职责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（一）参与编制全县土地整治规划和项目计划，组织实施全县土地整治项目（不含农田整治项目，下同）；承担全县土地整治项目的选址、验收、复核等事务性工作。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（二）承担国土空间生态修复的相关事务性工作。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（三）承担矿山地质环境恢复治理验收、矿产资源调查、地质环境和地下水的监测等事务性工作。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（四）承担全县发证矿山的矿产资源储量评审相关事务性工作；参与储量动态核查工作；承担矿业权出让的前期准备工作；承担关于矿业权登记的相关事务性工作。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（五）承担县内单位与单位以上之间自然资源权属纠纷案件的调查、协商、调解等事务性工作；承担县内自然资源权属法规政策指导和技术服务工作；协助做好县以上自然资源权属纠纷调查、调解等事务性工作。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(六）协助做好自然资源权属信访案件接访、劝返工作。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（七）承办县自然资源局交办的其他事项。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（二）部门（单位）年度整体支出绩效目标，项目支出目标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1、做好全县土地整治规划和项目管理等事务性工作。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2、做好国土空间生态修复等事务性工作。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3、做好矿山矿产资源管理、地下水的监测等事务性工作。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4、做好全县自然资源权属纠纷的调查、调解等相关事务性工作。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楷体" w:hAnsi="楷体" w:eastAsia="楷体" w:cs="楷体"/>
          <w:sz w:val="28"/>
          <w:szCs w:val="28"/>
        </w:rPr>
      </w:pPr>
      <w:r>
        <w:rPr>
          <w:rFonts w:ascii="仿宋_GB2312" w:eastAsia="仿宋_GB2312"/>
          <w:sz w:val="32"/>
        </w:rPr>
        <w:t xml:space="preserve">   5、做好自然资源权属信访案件接访、劝返等相关事务性工作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>。</w:t>
      </w:r>
    </w:p>
    <w:p>
      <w:pPr>
        <w:pStyle w:val="10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0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pStyle w:val="9"/>
        <w:spacing w:line="600" w:lineRule="exact"/>
        <w:ind w:firstLine="640"/>
        <w:jc w:val="left"/>
        <w:rPr>
          <w:rFonts w:hint="default" w:ascii="仿宋_GB2312" w:hAnsi="Times New Roman" w:eastAsia="仿宋_GB2312"/>
          <w:kern w:val="2"/>
          <w:sz w:val="32"/>
        </w:rPr>
      </w:pPr>
      <w:r>
        <w:rPr>
          <w:rFonts w:ascii="仿宋_GB2312" w:hAnsi="Times New Roman" w:eastAsia="仿宋_GB2312"/>
          <w:kern w:val="2"/>
          <w:sz w:val="32"/>
        </w:rPr>
        <w:t>2024年年度一般公共预算财政拨款基本支出262.23万元，其中工资福利支出239.03万元，主要包括：基本工资79.24万元、津贴补贴13.55万元、奖金42万元、绩效工资48.94万元、机关事业单位基本养老保险缴费24.11万元、职业年金缴费0万元、职工基本医疗保险缴费13.11万元、住房公积金18.08万元；一般商品服务和支出23.2万元，主要包括：办公费2.5万元、印刷费3万元、水费0.05万元、电费0.25万元、邮电费0.40万元、差旅费4万元、维修（护）费0.8万元、会议费1.2万元、公务接待4万元、劳务费2万元、福利费1.5万元、其他交通费用2万元,、培训费0.5万元、其他商品和服务支出1万元。</w:t>
      </w:r>
    </w:p>
    <w:p>
      <w:pPr>
        <w:pStyle w:val="10"/>
        <w:spacing w:line="570" w:lineRule="exact"/>
        <w:ind w:firstLine="640"/>
        <w:outlineLvl w:val="1"/>
        <w:rPr>
          <w:rFonts w:ascii="仿宋_GB2312" w:hAnsi="Times New Roman" w:eastAsia="仿宋_GB2312"/>
          <w:kern w:val="2"/>
          <w:sz w:val="32"/>
        </w:rPr>
      </w:pPr>
      <w:r>
        <w:rPr>
          <w:rFonts w:hint="eastAsia" w:ascii="仿宋_GB2312" w:hAnsi="Times New Roman" w:eastAsia="仿宋_GB2312"/>
          <w:kern w:val="2"/>
          <w:sz w:val="32"/>
        </w:rPr>
        <w:t>（二）项目支出情况</w:t>
      </w:r>
    </w:p>
    <w:p>
      <w:pPr>
        <w:pStyle w:val="9"/>
        <w:spacing w:line="600" w:lineRule="exact"/>
        <w:ind w:firstLine="640"/>
        <w:jc w:val="left"/>
        <w:rPr>
          <w:rFonts w:hint="default" w:ascii="仿宋_GB2312" w:hAnsi="Times New Roman" w:eastAsia="仿宋_GB2312"/>
          <w:kern w:val="2"/>
          <w:sz w:val="32"/>
        </w:rPr>
      </w:pPr>
      <w:r>
        <w:rPr>
          <w:rFonts w:ascii="仿宋_GB2312" w:hAnsi="Times New Roman" w:eastAsia="仿宋_GB2312"/>
          <w:kern w:val="2"/>
          <w:sz w:val="32"/>
        </w:rPr>
        <w:t>2024年度公共预算财政拨款项目支出11.4万元，分别是8万元县批山林调纠专项经费及1.4万元的山林调纠专项经费，其他社会保障经费2万元。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我单位无政府性基金预算支出情况。</w:t>
      </w:r>
    </w:p>
    <w:p>
      <w:pPr>
        <w:pStyle w:val="10"/>
        <w:numPr>
          <w:ilvl w:val="0"/>
          <w:numId w:val="2"/>
        </w:numPr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国有资本经营预算支出情况。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我单位无国有资本经营预算支出情况。</w:t>
      </w:r>
    </w:p>
    <w:p>
      <w:pPr>
        <w:pStyle w:val="10"/>
        <w:numPr>
          <w:ilvl w:val="0"/>
          <w:numId w:val="2"/>
        </w:numPr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社会保险基金预算支出情况。</w:t>
      </w:r>
    </w:p>
    <w:p>
      <w:pPr>
        <w:pStyle w:val="10"/>
        <w:spacing w:line="570" w:lineRule="exact"/>
        <w:ind w:left="420" w:leftChars="200" w:firstLine="320" w:firstLineChars="10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pStyle w:val="9"/>
        <w:spacing w:line="600" w:lineRule="exact"/>
        <w:ind w:firstLine="640"/>
        <w:jc w:val="left"/>
        <w:rPr>
          <w:rFonts w:hint="default" w:ascii="仿宋_GB2312" w:hAnsi="Times New Roman" w:eastAsia="仿宋_GB2312"/>
          <w:kern w:val="2"/>
          <w:sz w:val="32"/>
        </w:rPr>
      </w:pPr>
      <w:r>
        <w:rPr>
          <w:rFonts w:ascii="仿宋_GB2312" w:hAnsi="Times New Roman" w:eastAsia="仿宋_GB2312"/>
          <w:kern w:val="2"/>
          <w:sz w:val="32"/>
        </w:rPr>
        <w:t>1、2024年度部门整体支出绩效情况完成较好，从整体上看，本年度我中心资金运行维护决策正确，资金管理规范，项目管理到位，政策执行有力，有效发挥了财政资金的使用效率。</w:t>
      </w:r>
    </w:p>
    <w:p>
      <w:pPr>
        <w:pStyle w:val="9"/>
        <w:spacing w:line="600" w:lineRule="exact"/>
        <w:ind w:firstLine="640"/>
        <w:jc w:val="left"/>
        <w:rPr>
          <w:rFonts w:hint="default" w:eastAsia="仿宋_GB2312"/>
          <w:color w:val="000000"/>
          <w:sz w:val="32"/>
        </w:rPr>
      </w:pPr>
      <w:r>
        <w:rPr>
          <w:rFonts w:ascii="仿宋_GB2312" w:hAnsi="Times New Roman" w:eastAsia="仿宋_GB2312"/>
          <w:kern w:val="2"/>
          <w:sz w:val="32"/>
        </w:rPr>
        <w:t>2、我中心各项资金其主要用途是确保了单位各项工作顺利开展进行，为解决全县各类自然资源权属矛盾纠纷，维护社会稳定，积极预防妥善处理人民内部矛盾产生群体事件，构建和谐平安县区提供了有力保障，社会公众或服务对象满意度95%,在人员经费支出、公共支出严格执行县委县政府的各项制度；在项目经费的使用上，在保证各项任务顺利完成的同时，严格落实厉行节约的原则；三公经费的使用严格控制在预算申报的范围内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pStyle w:val="9"/>
        <w:spacing w:line="600" w:lineRule="exact"/>
        <w:ind w:firstLine="640"/>
        <w:jc w:val="left"/>
        <w:rPr>
          <w:rFonts w:hint="default" w:eastAsia="仿宋_GB2312"/>
          <w:sz w:val="32"/>
        </w:rPr>
      </w:pPr>
      <w:r>
        <w:rPr>
          <w:rFonts w:ascii="仿宋_GB2312" w:hAnsi="Times New Roman" w:eastAsia="仿宋_GB2312"/>
          <w:kern w:val="2"/>
          <w:sz w:val="32"/>
        </w:rPr>
        <w:t>预算编制前根据年度内单位可预见的工作任务，确定了单位年度预算目标，细化了预算指标，但是在实际支付过程中，个别预算指标没有做到特别精确，存在资金分配不是特别合理。财务制度不够完善，资产管理不够严谨，业务素质有待提高。</w:t>
      </w:r>
    </w:p>
    <w:p>
      <w:pPr>
        <w:numPr>
          <w:ilvl w:val="0"/>
          <w:numId w:val="3"/>
        </w:num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下一步改进措施</w:t>
      </w:r>
    </w:p>
    <w:p>
      <w:pPr>
        <w:spacing w:line="600" w:lineRule="exact"/>
        <w:ind w:firstLine="640" w:firstLineChars="200"/>
        <w:jc w:val="left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加强学习，提高思想认识。组织单位财务人员认真学习《预算法》等相关法规、制度，提高单位领导对全面预算管理的重视程度，增强财务人员的预算意识。</w:t>
      </w:r>
    </w:p>
    <w:p>
      <w:pPr>
        <w:spacing w:line="600" w:lineRule="exact"/>
        <w:ind w:firstLine="640" w:firstLineChars="200"/>
        <w:jc w:val="left"/>
        <w:rPr>
          <w:rFonts w:hint="default"/>
        </w:rPr>
      </w:pPr>
      <w:r>
        <w:rPr>
          <w:rFonts w:ascii="仿宋_GB2312" w:eastAsia="仿宋_GB2312"/>
          <w:sz w:val="32"/>
        </w:rPr>
        <w:t>规范财务运行，加强预算支出管理。严格遵循“先有预算、后有支出”的原则，建立健全并认真执行各项资金使用管理制度，建立内部控制机制，资金使用严格履行审批程序，确保资金支出合法、真实。严格落实会计核算、报销审批制度，加强对资金使用环节的监督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600" w:lineRule="exact"/>
        <w:ind w:firstLine="640" w:firstLineChars="200"/>
        <w:jc w:val="left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无 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22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kern w:val="0"/>
              </w:rPr>
              <w:t>　95.65％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25.41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23.2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10.382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5.18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7.074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4.3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5.242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0.456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0.625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1.县批山林调纠专项经费　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2.山林调纠专项经费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3.其他社会保障经费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13.35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严控“三公”经费、降低一般运行经费、加强项目支出管理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填表人：王颖 填报日期：2025年6月18日 联系电话：7723318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7"/>
        <w:tblW w:w="10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38"/>
        <w:gridCol w:w="1106"/>
        <w:gridCol w:w="734"/>
        <w:gridCol w:w="400"/>
        <w:gridCol w:w="746"/>
        <w:gridCol w:w="813"/>
        <w:gridCol w:w="403"/>
        <w:gridCol w:w="1133"/>
        <w:gridCol w:w="175"/>
        <w:gridCol w:w="828"/>
        <w:gridCol w:w="587"/>
        <w:gridCol w:w="215"/>
        <w:gridCol w:w="490"/>
        <w:gridCol w:w="765"/>
        <w:gridCol w:w="8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9281" w:type="dxa"/>
            <w:gridSpan w:val="1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双牌县自然资源事务中心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2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260.10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260.29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262.07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99.92%</w:t>
            </w:r>
          </w:p>
        </w:tc>
        <w:tc>
          <w:tcPr>
            <w:tcW w:w="2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一般公共预算：260.07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其中：基本支出：248.67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其他资金：0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5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完成值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完成支出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sz w:val="18"/>
                <w:szCs w:val="18"/>
              </w:rPr>
              <w:t>260.07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sz w:val="18"/>
                <w:szCs w:val="18"/>
              </w:rPr>
              <w:t>260.07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资金使用合格率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≥95%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200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100%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完成支出及时率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2024.1-2024.12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2024.1-2024.12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总金额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≤</w:t>
            </w:r>
            <w:r>
              <w:rPr>
                <w:rFonts w:eastAsia="仿宋_GB2312"/>
                <w:color w:val="000000" w:themeColor="text1"/>
                <w:sz w:val="18"/>
                <w:szCs w:val="18"/>
              </w:rPr>
              <w:t>260.07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sz w:val="18"/>
                <w:szCs w:val="18"/>
              </w:rPr>
              <w:t>260.07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 xml:space="preserve">分）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充分发挥资金使用效益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高效使用资金，效果显著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有效发挥了资金的使用效益，成效显著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有效保障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各项保障措施，有效维护社会稳定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生态保护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有效保护生态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各项保障措施，生态保护效果显著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效果显著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促进可持续发展，效果显著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社会群众或服务对象满意度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98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 ：王颖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>
        <w:rPr>
          <w:rFonts w:ascii="仿宋_GB2312" w:hAnsi="仿宋_GB2312" w:eastAsia="仿宋_GB2312"/>
          <w:kern w:val="0"/>
          <w:sz w:val="22"/>
          <w:szCs w:val="22"/>
        </w:rPr>
        <w:t xml:space="preserve">2025年6月18日 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>联系电话：7723318 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山林调纠专项经费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填表人：王颖 填报日期：2025年6月18日 联系电话：7723318 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1"/>
        <w:gridCol w:w="933"/>
        <w:gridCol w:w="732"/>
        <w:gridCol w:w="847"/>
        <w:gridCol w:w="1207"/>
        <w:gridCol w:w="1609"/>
        <w:gridCol w:w="1003"/>
        <w:gridCol w:w="661"/>
        <w:gridCol w:w="8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山林调纠专项经费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3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双牌县自然资源事务中心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3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3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　     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绩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效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年度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指标值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实际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得分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产出指标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(50分)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≥95%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 w:themeColor="text1"/>
                <w:kern w:val="0"/>
                <w:sz w:val="15"/>
                <w:szCs w:val="15"/>
              </w:rPr>
              <w:t>2024.1-12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  <w:sz w:val="15"/>
                <w:szCs w:val="15"/>
              </w:rPr>
              <w:t>2024.1-12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总金额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≤</w:t>
            </w:r>
            <w:r>
              <w:rPr>
                <w:rFonts w:eastAsia="仿宋_GB2312"/>
                <w:color w:val="000000" w:themeColor="text1"/>
              </w:rPr>
              <w:t>8</w:t>
            </w:r>
            <w:r>
              <w:rPr>
                <w:rFonts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8</w:t>
            </w:r>
            <w:r>
              <w:rPr>
                <w:rFonts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总金额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效益指标（30分）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充分发挥资金使用效益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高效使用资金，效果显著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有效发挥了资金的使用效益，成效显著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充分发挥资金使用效益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各项保障措施，有效维护社会稳定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生态保护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有效保护生态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各项保障措施，生态保护效果显著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生态保护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eastAsia="仿宋_GB2312"/>
                <w:color w:val="000000" w:themeColor="text1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效果显著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促进可持续发展，效果显著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满意度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指标（10分）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仿宋_GB2312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98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填表人：王颖 填报日期：2025年6月18日 联系电话：7723318 单位负责人签字：</w:t>
      </w:r>
    </w:p>
    <w:p>
      <w:pPr>
        <w:pStyle w:val="2"/>
        <w:ind w:left="420" w:firstLine="48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ind w:left="420" w:firstLine="48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ind w:left="420" w:firstLine="48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ind w:left="420" w:firstLine="48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ind w:left="420" w:firstLine="48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ind w:left="420" w:firstLine="48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ind w:left="420" w:firstLine="480"/>
        <w:rPr>
          <w:rFonts w:asciiTheme="minorEastAsia" w:hAnsiTheme="minorEastAsia" w:eastAsiaTheme="minorEastAsia" w:cstheme="minorEastAsia"/>
          <w:sz w:val="24"/>
        </w:rPr>
      </w:pPr>
    </w:p>
    <w:p>
      <w:pPr>
        <w:pStyle w:val="2"/>
        <w:ind w:left="420" w:firstLine="480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山林调纠专项经费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填表人：王颖 填报日期：2025年6月18日 联系电话：7723318 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7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2"/>
        <w:gridCol w:w="1080"/>
        <w:gridCol w:w="1128"/>
        <w:gridCol w:w="1061"/>
        <w:gridCol w:w="1135"/>
        <w:gridCol w:w="1145"/>
        <w:gridCol w:w="1087"/>
        <w:gridCol w:w="564"/>
        <w:gridCol w:w="1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71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山林调纠专项经费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双牌县自然资源局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双牌县自然资源事务中心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3" w:hRule="atLeast"/>
          <w:jc w:val="center"/>
        </w:trPr>
        <w:tc>
          <w:tcPr>
            <w:tcW w:w="10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1.4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1.4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1.4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0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3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做好全县自然资源权属纠纷的调查、调解等相关事务性工作</w:t>
            </w:r>
          </w:p>
        </w:tc>
        <w:tc>
          <w:tcPr>
            <w:tcW w:w="4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　     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绩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效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年度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指标值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实际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完成值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分值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得分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产出指标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(50分)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1.4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1.4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≥95%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2024.1-12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2024.1-12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总金额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≤</w:t>
            </w:r>
            <w:r>
              <w:rPr>
                <w:rFonts w:eastAsia="仿宋_GB2312"/>
                <w:color w:val="000000" w:themeColor="text1"/>
              </w:rPr>
              <w:t>8</w:t>
            </w:r>
            <w:r>
              <w:rPr>
                <w:rFonts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8</w:t>
            </w:r>
            <w:r>
              <w:rPr>
                <w:rFonts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总金额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效益指标（30分）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充分发挥资金使用效益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高效使用资金，效果显著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有效发挥了资金的使用效益，成效显著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充分发挥资金使用效益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有效保障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各项保障措施，有效维护社会稳定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生态保护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有效保护生态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各项保障措施，生态保护效果显著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生态保护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效果显著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促进可持续发展，效果显著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满意度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指标（10分）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服务对象满意度指标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≥95%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≥95%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总分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仿宋_GB2312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98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填表人：王颖 填报日期：2025年6月18日 联系电话：7723318 单位负责人签字：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其他社会保障经费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失业保险、工商保险、残疾保障金等运转经费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填表人：王颖 填报日期：2025年6月18日 联系电话：7723318 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  <w:sectPr>
          <w:footerReference r:id="rId5" w:type="default"/>
          <w:footerReference r:id="rId6" w:type="even"/>
          <w:pgSz w:w="11905" w:h="16837"/>
          <w:pgMar w:top="1440" w:right="1701" w:bottom="1440" w:left="1701" w:header="851" w:footer="1474" w:gutter="0"/>
          <w:pgNumType w:start="1"/>
          <w:cols w:space="0" w:num="1"/>
          <w:docGrid w:type="lines" w:linePitch="636" w:charSpace="0"/>
        </w:sect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7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2"/>
        <w:gridCol w:w="1080"/>
        <w:gridCol w:w="1128"/>
        <w:gridCol w:w="1061"/>
        <w:gridCol w:w="1135"/>
        <w:gridCol w:w="1145"/>
        <w:gridCol w:w="1087"/>
        <w:gridCol w:w="564"/>
        <w:gridCol w:w="1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71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其他社会保障经费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3" w:hRule="atLeast"/>
          <w:jc w:val="center"/>
        </w:trPr>
        <w:tc>
          <w:tcPr>
            <w:tcW w:w="10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双牌县自然资源局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双牌县自然资源事务中心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3" w:hRule="atLeast"/>
          <w:jc w:val="center"/>
        </w:trPr>
        <w:tc>
          <w:tcPr>
            <w:tcW w:w="10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0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3" w:hRule="atLeast"/>
          <w:jc w:val="center"/>
        </w:trPr>
        <w:tc>
          <w:tcPr>
            <w:tcW w:w="10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失业保险、工商保险、残疾保障金等运转经费</w:t>
            </w:r>
          </w:p>
        </w:tc>
        <w:tc>
          <w:tcPr>
            <w:tcW w:w="4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　     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绩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效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年度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指标值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实际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完成值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分值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得分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产出指标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(50分)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2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≥95%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资金使用合格率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2024.1-12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2024.1-12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完成支出及时率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总金额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≤</w:t>
            </w:r>
            <w:r>
              <w:rPr>
                <w:rFonts w:eastAsia="仿宋_GB2312"/>
                <w:color w:val="000000" w:themeColor="text1"/>
              </w:rPr>
              <w:t>8</w:t>
            </w:r>
            <w:r>
              <w:rPr>
                <w:rFonts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</w:rPr>
              <w:t>8</w:t>
            </w:r>
            <w:r>
              <w:rPr>
                <w:rFonts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总金额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效益指标（30分）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充分发挥资金使用效益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高效使用资金，效果显著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有效发挥了资金的使用效益，成效显著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充分发挥资金使用效益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有效保障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各项保障措施，有效维护社会稳定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有效维护社会稳定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生态保护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有效保护生态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各项保障措施，生态保护效果显著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生态保护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可持续发展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效果显著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促进可持续发展，效果显著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可持续发展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满意度</w:t>
            </w:r>
          </w:p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指标（10分）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服务对象满意度指标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≥95%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≥95%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社会群众或服务对象满意度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总分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100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仿宋_GB2312" w:cs="楷体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98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eastAsia="仿宋_GB2312"/>
          <w:sz w:val="22"/>
        </w:rPr>
        <w:sectPr>
          <w:footerReference r:id="rId7" w:type="default"/>
          <w:pgSz w:w="11905" w:h="16837"/>
          <w:pgMar w:top="1440" w:right="1701" w:bottom="1440" w:left="1701" w:header="851" w:footer="1474" w:gutter="0"/>
          <w:pgNumType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填表人：王颖 填报日期：2025年6月18日 联系电话：7723318 单位负责人签字</w:t>
      </w:r>
      <w:bookmarkStart w:id="0" w:name="_GoBack"/>
      <w:bookmarkEnd w:id="0"/>
    </w:p>
    <w:p>
      <w:pPr>
        <w:rPr>
          <w:rFonts w:hint="default"/>
        </w:rPr>
      </w:pPr>
    </w:p>
    <w:sectPr>
      <w:footerReference r:id="rId8" w:type="default"/>
      <w:footerReference r:id="rId9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61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default"/>
                  </w:rPr>
                  <w:t>16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3" o:spid="_x0000_s1033" o:spt="202" type="#_x0000_t202" style="position:absolute;left:0pt;margin-top:0pt;height:144pt;width:144pt;mso-position-horizontal:center;mso-position-horizontal-relative:margin;mso-wrap-style:none;z-index:2516541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8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32" o:spid="_x0000_s1032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 w:eastAsia="宋体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default"/>
                  </w:rPr>
                  <w:t>1</w:t>
                </w:r>
                <w:r>
                  <w:rPr>
                    <w:rFonts w:hint="default"/>
                  </w:rPr>
                  <w:fldChar w:fldCharType="end"/>
                </w:r>
                <w:r>
                  <w:rPr>
                    <w:rFonts w:eastAsia="宋体"/>
                  </w:rPr>
                  <w:t>6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31" o:spid="_x0000_s1031" o:spt="202" type="#_x0000_t202" style="position:absolute;left:0pt;margin-top:0pt;height:144pt;width:144pt;mso-position-horizontal:center;mso-position-horizontal-relative:margin;mso-wrap-style:none;z-index:2516551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VrZt8BAAC+AwAADgAAAGRycy9lMm9Eb2MueG1srVPBjtMwEL0j8Q+W&#10;7zRpkVZV1XS1UC1CQoC07Ae4jtNYsj3W2G1SPgD+gBMX7nxXv4Oxk3RhuexhL8l4Zvxm3pvx+rq3&#10;hh0VBg2u4vNZyZlyEmrt9hW//3L7aslZiMLVwoBTFT+pwK83L1+sO79SC2jB1AoZgbiw6nzF2xj9&#10;qiiCbJUVYQZeOQo2gFZEOuK+qFF0hG5NsSjLq6IDrD2CVCGQdzsE+YiITwGEptFSbUEerHJxQEVl&#10;RCRKodU+8E3utmmUjJ+aJqjITMWJacxfKkL2Ln2LzVqs9ih8q+XYgnhKC484WaEdFb1AbUUU7ID6&#10;PyirJUKAJs4k2GIgkhUhFvPykTZ3rfAqcyGpg7+IHp4PVn48fkam64pfceaEpYGff3w///x9/vWN&#10;vU7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PVrZt8BAAC+AwAADgAAAAAA&#10;AAABACAAAAAeAQAAZHJzL2Uyb0RvYy54bWxQSwUGAAAAAAYABgBZAQAAb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ascii="宋体" w:hAnsi="宋体" w:cs="宋体"/>
                    <w:szCs w:val="18"/>
                  </w:rPr>
                  <w:t>- 2 -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30" o:spid="_x0000_s1030" o:spt="202" type="#_x0000_t202" style="position:absolute;left:0pt;margin-left:201.8pt;margin-top:0.55pt;height:16.05pt;width:23.25pt;mso-position-horizontal-relative:margin;z-index:251657216;mso-width-relative:page;mso-height-relative:page;" filled="f" stroked="f" coordsize="21600,21600" o:gfxdata="UEsDBAoAAAAAAIdO4kAAAAAAAAAAAAAAAAAEAAAAZHJzL1BLAwQUAAAACACHTuJAlT4h4tYAAAAI&#10;AQAADwAAAGRycy9kb3ducmV2LnhtbE2Py07DMBBF90j8gzVI7KidplQoxOmCx45noVLZOfGQRMTj&#10;yHbS8vcMK9jN6FzdOVNujm4QM4bYe9KQLRQIpMbbnloN72/3F1cgYjJkzeAJNXxjhE11elKawvoD&#10;veK8Ta3gEoqF0dClNBZSxqZDZ+LCj0jMPn1wJvEaWmmDOXC5G+RSqbV0pie+0JkRbzpsvraT0zDs&#10;Y3ioVfqYb9vH9PIsp91d9qT1+VmmrkEkPKa/MPzqszpU7FT7iWwUg4aVytccZZCBYL66VDzUGvJ8&#10;CbIq5f8Hqh9QSwMEFAAAAAgAh07iQGt9jcw4AgAAYwQAAA4AAABkcnMvZTJvRG9jLnhtbK1UwW4T&#10;MRC9I/EPlu9001QpJeqmCq2KkCpaqSDOjtebtWR7jO10t3wA/AGnXrjzXfkOnnezKSoceuDizM6M&#10;Z+a9ec7pWWcNu1MhanIlPzyYcKacpEq7dck/fbx8dcJZTMJVwpBTJb9XkZ8tXr44bf1cTakhU6nA&#10;UMTFeetL3qTk50URZaOsiAfklUOwpmBFwmdYF1UQLapbU0wnk+OipVD5QFLFCO/FEOS7iuE5Bamu&#10;tVQXJDdWuTRUDcqIBEix0T7yRT9tXSuZrus6qsRMyYE09SeawF7ls1icivk6CN9ouRtBPGeEJ5is&#10;0A5N96UuRBJsE/RfpayWgSLV6UCSLQYgPSNAcTh5ws1tI7zqsYDq6Pekx/9XVn64uwlMV1DCIWdO&#10;WGx8++P79uHX9uc3Bh8Ian2cI+/WIzN1b6lD8uiPcGbcXR1s/gUihjjovd/Tq7rEJJzTN7Pp6xln&#10;EqHp5OjkaJarFI+XfYjpnSLLslHygO31pIq7q5iG1DEl93J0qY3pN2gca0t+fDSb9Bf2ERQ3Dj0y&#10;hGHUbKVu1e1wrai6B6xAgzKil5caza9ETDciQApAgseSrnHUhtCEdhZnDYWv//LnfGwIUc5aSKvk&#10;8ctGBMWZee+wu6zD0QijsRoNt7HnBLViHZimN3EhJDOadSD7GW9ombsgJJxEr5Kn0TxPg8DxBqVa&#10;LvukjQ963QwXoDwv0pW79TK3GahcbhLVumc5UzTwsmMO2uv3tHsnWdx/fvdZj/8N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PiHi1gAAAAgBAAAPAAAAAAAAAAEAIAAAACIAAABkcnMvZG93bnJl&#10;di54bWxQSwECFAAUAAAACACHTuJAa32NzDgCAABjBAAADgAAAAAAAAABACAAAAAlAQAAZHJzL2Uy&#10;b0RvYy54bWxQSwUGAAAAAAYABgBZAQAAzwUAAAAA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4"/>
                  <w:rPr>
                    <w:rFonts w:hint="default" w:eastAsia="宋体"/>
                  </w:rPr>
                </w:pPr>
              </w:p>
            </w:txbxContent>
          </v:textbox>
        </v:shape>
      </w:pict>
    </w:r>
    <w:r>
      <w:rPr>
        <w:rFonts w:hint="default"/>
      </w:rPr>
      <w:pict>
        <v:shape id="_x0000_s1029" o:spid="_x0000_s1029" o:spt="202" type="#_x0000_t202" style="position:absolute;left:0pt;margin-left:188.4pt;margin-top:0pt;height:16.6pt;width:27.9pt;mso-position-horizontal-relative:margin;z-index:251659264;mso-width-relative:page;mso-height-relative:page;" filled="f" stroked="f" coordsize="21600,21600" o:gfxdata="UEsDBAoAAAAAAIdO4kAAAAAAAAAAAAAAAAAEAAAAZHJzL1BLAwQUAAAACACHTuJADvqG5dYAAAAH&#10;AQAADwAAAGRycy9kb3ducmV2LnhtbE2PS0/DMBCE70j8B2uRuFE7CQooxOmBx41HKa0ENyc2SYQf&#10;kb1Jy79nOcFxZ0Yz39bro7NsMTGNwUvIVgKY8V3Qo+8l7N4eLq6BJVReKxu8kfBtEqyb05NaVToc&#10;/KtZttgzKvGpUhIGxKniPHWDcSqtwmQ8eZ8hOoV0xp7rqA5U7izPhSi5U6OnhUFN5nYw3dd2dhLs&#10;e4qPrcCP5a5/ws0Ln/f32bOU52eZuAGG5oh/YfjFJ3RoiKkNs9eJWQnFVUnoKIE+IvuyyEtgLelF&#10;Dryp+X/+5gdQSwMEFAAAAAgAh07iQJkYYBU2AgAAYwQAAA4AAABkcnMvZTJvRG9jLnhtbK1UzW4T&#10;MRC+I/EOlu9080OrKuqmCq2KkCpaqSDOjtebtWR7jO10tzwAvAEnLtx5rjwH33qzKSoceuDizM7/&#10;981Mzs47a9i9ClGTK/n0aMKZcpIq7TYl//jh6tUpZzEJVwlDTpX8QUV+vnz54qz1CzWjhkylAkMS&#10;FxetL3mTkl8URZSNsiIekVcOxpqCFQmfYVNUQbTIbk0xm0xOipZC5QNJFSO0l4OR7zOG5ySkutZS&#10;XZLcWuXSkDUoIxIgxUb7yJe527pWMt3UdVSJmZIDacovikBe92+xPBOLTRC+0XLfgnhOC08wWaEd&#10;ih5SXYok2Dbov1JZLQNFqtORJFsMQDIjQDGdPOHmrhFeZSygOvoD6fH/pZXv728D0xU2Yc6ZExYT&#10;333/tvvxa/fzK4MOBLU+LuB35+GZujfUwXnURyh73F0dbP8LRAx20PtwoFd1iUko58ev53NYJEyz&#10;6eR0lukvHoN9iOmtIst6oeQB08ukivvrmNAIXEeXvpajK21MnqBxrC35yfx4kgMOFkQYh8AewtBq&#10;L6Vu3e1xral6AKxAw2ZEL680il+LmG5FwCqgXxxLusFTG0IR2kucNRS+/Evf+2NCsHLWYrVKHj9v&#10;RVCcmXcOs0PKNAphFNaj4Lb2grCtU5yhl1lEQEhmFOtA9hNuaNVXgUk4iVolT6N4kYYFxw1KtVpl&#10;p60PetMMAdg8L9K1u/OyLzNQudomqnVmuado4GXPHHYvk7+/k365//zOXo//D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vqG5dYAAAAHAQAADwAAAAAAAAABACAAAAAiAAAAZHJzL2Rvd25yZXYu&#10;eG1sUEsBAhQAFAAAAAgAh07iQJkYYBU2AgAAYwQAAA4AAAAAAAAAAQAgAAAAJQEAAGRycy9lMm9E&#10;b2MueG1sUEsFBgAAAAAGAAYAWQEAAM0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rPr>
                    <w:rFonts w:hint="default"/>
                  </w:rPr>
                </w:pP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tabs>
        <w:tab w:val="center" w:pos="4320"/>
        <w:tab w:val="clear" w:pos="4153"/>
      </w:tabs>
      <w:ind w:right="360" w:firstLine="4200" w:firstLineChars="1500"/>
      <w:rPr>
        <w:rFonts w:hint="default" w:eastAsia="宋体"/>
      </w:rPr>
    </w:pPr>
    <w:r>
      <w:rPr>
        <w:rFonts w:hint="default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</w:p>
            </w:txbxContent>
          </v:textbox>
        </v:shape>
      </w:pict>
    </w:r>
    <w:r>
      <w:rPr>
        <w:rFonts w:eastAsia="宋体"/>
      </w:rPr>
      <w:t>19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AD34"/>
    <w:multiLevelType w:val="singleLevel"/>
    <w:tmpl w:val="A030AD3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5CD625F"/>
    <w:multiLevelType w:val="singleLevel"/>
    <w:tmpl w:val="A5CD625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w:compa"/>
  </w:docVars>
  <w:rsids>
    <w:rsidRoot w:val="00172A27"/>
    <w:rsid w:val="00172A27"/>
    <w:rsid w:val="00185008"/>
    <w:rsid w:val="0050023C"/>
    <w:rsid w:val="006127B8"/>
    <w:rsid w:val="0062012A"/>
    <w:rsid w:val="0063446A"/>
    <w:rsid w:val="006933B9"/>
    <w:rsid w:val="006B21FE"/>
    <w:rsid w:val="006B250D"/>
    <w:rsid w:val="007C3CAB"/>
    <w:rsid w:val="00864D4D"/>
    <w:rsid w:val="00875119"/>
    <w:rsid w:val="00885579"/>
    <w:rsid w:val="00910EBD"/>
    <w:rsid w:val="00C36380"/>
    <w:rsid w:val="0B5F1B77"/>
    <w:rsid w:val="0B9F3D21"/>
    <w:rsid w:val="0CCE5073"/>
    <w:rsid w:val="0F9F0794"/>
    <w:rsid w:val="101F3C57"/>
    <w:rsid w:val="105E064F"/>
    <w:rsid w:val="12B63F3E"/>
    <w:rsid w:val="154B3473"/>
    <w:rsid w:val="15B02F86"/>
    <w:rsid w:val="1A136831"/>
    <w:rsid w:val="1BCE59A7"/>
    <w:rsid w:val="1D5E5630"/>
    <w:rsid w:val="1F9C1D8C"/>
    <w:rsid w:val="20BA3D5C"/>
    <w:rsid w:val="20FE29CD"/>
    <w:rsid w:val="213827F6"/>
    <w:rsid w:val="24756501"/>
    <w:rsid w:val="283006CB"/>
    <w:rsid w:val="29D00391"/>
    <w:rsid w:val="2A306760"/>
    <w:rsid w:val="2AF82401"/>
    <w:rsid w:val="2D3A66D1"/>
    <w:rsid w:val="2D8A66E1"/>
    <w:rsid w:val="31EF3498"/>
    <w:rsid w:val="33457B5A"/>
    <w:rsid w:val="33EA0D37"/>
    <w:rsid w:val="38EA5012"/>
    <w:rsid w:val="3D8726E3"/>
    <w:rsid w:val="3D9D5A63"/>
    <w:rsid w:val="3DFB432B"/>
    <w:rsid w:val="3E442382"/>
    <w:rsid w:val="41A60F90"/>
    <w:rsid w:val="437042B4"/>
    <w:rsid w:val="43D25C86"/>
    <w:rsid w:val="47FF7E2A"/>
    <w:rsid w:val="4A7E5437"/>
    <w:rsid w:val="4B490F32"/>
    <w:rsid w:val="4B564457"/>
    <w:rsid w:val="4C575977"/>
    <w:rsid w:val="4DB90697"/>
    <w:rsid w:val="4DF30F3A"/>
    <w:rsid w:val="4DFE254E"/>
    <w:rsid w:val="4E8B7C40"/>
    <w:rsid w:val="4F1637A4"/>
    <w:rsid w:val="500F1BD2"/>
    <w:rsid w:val="51B00003"/>
    <w:rsid w:val="51C40746"/>
    <w:rsid w:val="543E6CC0"/>
    <w:rsid w:val="55412274"/>
    <w:rsid w:val="55C03679"/>
    <w:rsid w:val="57C446E9"/>
    <w:rsid w:val="58820FB8"/>
    <w:rsid w:val="5ABA52A9"/>
    <w:rsid w:val="5AC02939"/>
    <w:rsid w:val="5C8E01AF"/>
    <w:rsid w:val="5D2E002E"/>
    <w:rsid w:val="61300818"/>
    <w:rsid w:val="62BE6D8B"/>
    <w:rsid w:val="64E742EF"/>
    <w:rsid w:val="66C32056"/>
    <w:rsid w:val="684B0AD7"/>
    <w:rsid w:val="684F4CE8"/>
    <w:rsid w:val="6A6B28C1"/>
    <w:rsid w:val="6E351362"/>
    <w:rsid w:val="70BE7CCA"/>
    <w:rsid w:val="75073918"/>
    <w:rsid w:val="766F54E7"/>
    <w:rsid w:val="771A18F7"/>
    <w:rsid w:val="77324E93"/>
    <w:rsid w:val="7DF52776"/>
    <w:rsid w:val="7E991F23"/>
    <w:rsid w:val="7EB5519D"/>
    <w:rsid w:val="BBDDA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6005</Characters>
  <Lines>50</Lines>
  <Paragraphs>14</Paragraphs>
  <TotalTime>29</TotalTime>
  <ScaleCrop>false</ScaleCrop>
  <LinksUpToDate>false</LinksUpToDate>
  <CharactersWithSpaces>7044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2025-06-27T16:14:00Z</dcterms:created>
  <dc:creator>海之韵</dc:creator>
  <cp:lastModifiedBy>kylin</cp:lastModifiedBy>
  <cp:lastPrinted>2025-06-20T09:03:00Z</cp:lastPrinted>
  <dcterms:modified xsi:type="dcterms:W3CDTF">2025-09-16T16:55:56Z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9AB555B0ADBD4D91A94BFABF0971FB4E_13</vt:lpwstr>
  </property>
  <property fmtid="{D5CDD505-2E9C-101B-9397-08002B2CF9AE}" pid="4" name="KSOTemplateDocerSaveRecord">
    <vt:lpwstr>eyJoZGlkIjoiNDRhMTRkNTZiYmFkMTUyNTYyN2NiYTFmYmZkNjZjZDEiLCJ1c2VySWQiOiIyNDQ3MDQwNTIifQ==</vt:lpwstr>
  </property>
</Properties>
</file>