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color w:val="auto"/>
          <w:sz w:val="52"/>
          <w:szCs w:val="24"/>
        </w:rPr>
      </w:pPr>
      <w:r>
        <w:rPr>
          <w:rFonts w:hint="eastAsia" w:ascii="方正小标宋简体" w:eastAsia="方正小标宋简体"/>
          <w:color w:val="auto"/>
          <w:sz w:val="52"/>
          <w:szCs w:val="24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52"/>
          <w:szCs w:val="24"/>
        </w:rPr>
        <w:t>年度</w:t>
      </w:r>
      <w:r>
        <w:rPr>
          <w:rFonts w:hint="eastAsia" w:ascii="方正小标宋简体" w:eastAsia="方正小标宋简体"/>
          <w:color w:val="auto"/>
          <w:sz w:val="52"/>
          <w:szCs w:val="24"/>
          <w:lang w:val="en-US" w:eastAsia="zh-CN"/>
        </w:rPr>
        <w:t>县工商联</w:t>
      </w:r>
      <w:r>
        <w:rPr>
          <w:rFonts w:hint="eastAsia" w:ascii="方正小标宋简体" w:eastAsia="方正小标宋简体"/>
          <w:color w:val="auto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color w:val="auto"/>
          <w:sz w:val="52"/>
          <w:szCs w:val="24"/>
        </w:rPr>
      </w:pPr>
      <w:r>
        <w:rPr>
          <w:rFonts w:hint="eastAsia" w:ascii="方正小标宋简体" w:eastAsia="方正小标宋简体"/>
          <w:color w:val="auto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color w:val="auto"/>
          <w:sz w:val="32"/>
          <w:szCs w:val="24"/>
          <w:u w:val="single"/>
        </w:rPr>
      </w:pPr>
      <w:r>
        <w:rPr>
          <w:rFonts w:hint="eastAsia" w:eastAsia="仿宋_GB2312"/>
          <w:color w:val="auto"/>
          <w:sz w:val="32"/>
          <w:szCs w:val="24"/>
        </w:rPr>
        <w:t>单位名称</w:t>
      </w:r>
      <w:r>
        <w:rPr>
          <w:rFonts w:hint="eastAsia" w:eastAsia="仿宋_GB2312"/>
          <w:color w:val="auto"/>
          <w:sz w:val="32"/>
          <w:szCs w:val="24"/>
          <w:u w:val="none"/>
        </w:rPr>
        <w:t>（盖章）</w:t>
      </w:r>
      <w:r>
        <w:rPr>
          <w:rFonts w:hint="eastAsia" w:eastAsia="仿宋_GB2312"/>
          <w:color w:val="auto"/>
          <w:sz w:val="32"/>
          <w:szCs w:val="24"/>
        </w:rPr>
        <w:t>：</w:t>
      </w:r>
      <w:r>
        <w:rPr>
          <w:rFonts w:hint="eastAsia" w:eastAsia="仿宋_GB2312"/>
          <w:color w:val="auto"/>
          <w:sz w:val="32"/>
          <w:szCs w:val="24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24"/>
          <w:u w:val="single"/>
          <w:lang w:eastAsia="zh-CN"/>
        </w:rPr>
        <w:t>双牌县工商业联合会</w:t>
      </w:r>
      <w:r>
        <w:rPr>
          <w:rFonts w:hint="eastAsia" w:eastAsia="仿宋_GB2312"/>
          <w:color w:val="auto"/>
          <w:sz w:val="32"/>
          <w:szCs w:val="24"/>
          <w:u w:val="single"/>
        </w:rPr>
        <w:t xml:space="preserve">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color w:val="auto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color w:val="auto"/>
          <w:sz w:val="32"/>
          <w:szCs w:val="24"/>
        </w:rPr>
      </w:pPr>
      <w:r>
        <w:rPr>
          <w:rFonts w:hint="eastAsia" w:eastAsia="楷体_GB2312"/>
          <w:color w:val="auto"/>
          <w:sz w:val="32"/>
          <w:szCs w:val="24"/>
          <w:lang w:val="en-US" w:eastAsia="zh-CN"/>
        </w:rPr>
        <w:t>2025</w:t>
      </w:r>
      <w:r>
        <w:rPr>
          <w:rFonts w:hint="eastAsia" w:eastAsia="楷体_GB2312"/>
          <w:color w:val="auto"/>
          <w:sz w:val="32"/>
          <w:szCs w:val="24"/>
        </w:rPr>
        <w:t>年</w:t>
      </w:r>
      <w:r>
        <w:rPr>
          <w:rFonts w:hint="eastAsia" w:eastAsia="楷体_GB2312"/>
          <w:color w:val="auto"/>
          <w:sz w:val="32"/>
          <w:szCs w:val="24"/>
          <w:lang w:val="en-US" w:eastAsia="zh-CN"/>
        </w:rPr>
        <w:t>6</w:t>
      </w:r>
      <w:r>
        <w:rPr>
          <w:rFonts w:hint="eastAsia" w:eastAsia="楷体_GB2312"/>
          <w:color w:val="auto"/>
          <w:sz w:val="32"/>
          <w:szCs w:val="24"/>
        </w:rPr>
        <w:t xml:space="preserve">月 </w:t>
      </w:r>
      <w:r>
        <w:rPr>
          <w:rFonts w:hint="eastAsia" w:eastAsia="楷体_GB2312"/>
          <w:color w:val="auto"/>
          <w:sz w:val="32"/>
          <w:szCs w:val="24"/>
          <w:lang w:val="en-US" w:eastAsia="zh-CN"/>
        </w:rPr>
        <w:t>17</w:t>
      </w:r>
      <w:r>
        <w:rPr>
          <w:rFonts w:hint="eastAsia" w:eastAsia="楷体_GB2312"/>
          <w:color w:val="auto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（此页为封面）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outlineLvl w:val="0"/>
        <w:rPr>
          <w:rFonts w:hint="default" w:eastAsia="黑体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br w:type="page"/>
      </w:r>
      <w:r>
        <w:rPr>
          <w:rFonts w:hint="eastAsia" w:eastAsia="黑体"/>
          <w:color w:val="auto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（一）部门（单位）职能职责、机构编制、人员构成等。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主要职责：认真学习和广泛宣传党和政府对非公有制经济的有关方针、政策，积极开展非公有制经济代表人士的政治思想工作；发挥工商联参政议政的重要职能作用。负责对非公有制经济代表人士的联系、培养、考察和推荐工作；调查研究非公有制经济的发展情况，向县委和政府反映情况，提出建议；发挥工商联民间商会的作用，开展与港澳台胞和国外侨胞中工商社团和工商界人士的联络工作，协助政府引进项目、资金、技术和人才；发挥工商联组织网络及人才优势，开展经济、政策和法律咨询等服务；协商工商联会员与有关部门和单位的关系；做好工商联会员发展和乡镇分会的组织建设工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内设机构和人员构成情况：根据编委核定，我单位无内设机构。</w:t>
      </w: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年本单位年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末</w:t>
      </w:r>
      <w:r>
        <w:rPr>
          <w:rFonts w:hint="eastAsia" w:eastAsia="仿宋_GB2312"/>
          <w:color w:val="auto"/>
          <w:sz w:val="32"/>
          <w:szCs w:val="24"/>
        </w:rPr>
        <w:t>实有人数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24"/>
        </w:rPr>
        <w:t>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，没有变动</w:t>
      </w:r>
      <w:r>
        <w:rPr>
          <w:rFonts w:hint="eastAsia" w:eastAsia="仿宋_GB2312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</w:t>
      </w:r>
      <w:r>
        <w:rPr>
          <w:rFonts w:hint="eastAsia" w:eastAsia="仿宋_GB2312"/>
          <w:color w:val="auto"/>
          <w:sz w:val="32"/>
          <w:szCs w:val="24"/>
        </w:rPr>
        <w:t>部门（单位）整体支出规模，包括但不限于部门整体支出情况、部门预算收支决算情况及“三公经费”支出使用和管理情况。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1、整体支出绩效目标：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①当好党委和政府联系非公经济组织的桥梁纽带，做好非公经济代表人士政治安排的推荐工作。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②维护非公经济人士合法权益。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③组织、宣传、引导民营企业和非公经济代表人士承担社会责任，联系村社和群众，支持村社和群众发展。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2、专项资金绩效目标：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①提升非公经济人士的能力和素质，推进非公经济人士和非公经济“两个健康”发展。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②组织、宣传、引导民营企业联系村，帮助村社发展。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③发展工商联事业，推进会员建设。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年度本年收入总计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80.64</w:t>
      </w:r>
      <w:r>
        <w:rPr>
          <w:rFonts w:hint="eastAsia" w:eastAsia="仿宋_GB2312"/>
          <w:color w:val="auto"/>
          <w:sz w:val="32"/>
          <w:szCs w:val="24"/>
        </w:rPr>
        <w:t>万元，其中：一般公共预算财政拨款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80.64</w:t>
      </w:r>
      <w:r>
        <w:rPr>
          <w:rFonts w:hint="eastAsia" w:eastAsia="仿宋_GB2312"/>
          <w:color w:val="auto"/>
          <w:sz w:val="32"/>
          <w:szCs w:val="24"/>
        </w:rPr>
        <w:t>万元</w:t>
      </w:r>
      <w:r>
        <w:rPr>
          <w:rFonts w:hint="default" w:eastAsia="仿宋_GB2312"/>
          <w:color w:val="auto"/>
          <w:sz w:val="32"/>
          <w:szCs w:val="24"/>
        </w:rPr>
        <w:t>,</w:t>
      </w:r>
      <w:r>
        <w:rPr>
          <w:rFonts w:hint="eastAsia" w:eastAsia="仿宋_GB2312"/>
          <w:color w:val="auto"/>
          <w:sz w:val="32"/>
          <w:szCs w:val="24"/>
        </w:rPr>
        <w:t>占总收入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100</w:t>
      </w:r>
      <w:r>
        <w:rPr>
          <w:rFonts w:hint="eastAsia" w:eastAsia="仿宋_GB2312"/>
          <w:color w:val="auto"/>
          <w:sz w:val="32"/>
          <w:szCs w:val="24"/>
        </w:rPr>
        <w:t>%，政府性基金预算财政拨款</w:t>
      </w:r>
      <w:r>
        <w:rPr>
          <w:rFonts w:hint="default" w:eastAsia="仿宋_GB2312"/>
          <w:color w:val="auto"/>
          <w:sz w:val="32"/>
          <w:szCs w:val="24"/>
        </w:rPr>
        <w:t>0</w:t>
      </w:r>
      <w:r>
        <w:rPr>
          <w:rFonts w:hint="eastAsia" w:eastAsia="仿宋_GB2312"/>
          <w:color w:val="auto"/>
          <w:sz w:val="32"/>
          <w:szCs w:val="24"/>
        </w:rPr>
        <w:t>万元，上年结转和结余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万元，占总收入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年度基本支出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75.44</w:t>
      </w:r>
      <w:r>
        <w:rPr>
          <w:rFonts w:hint="eastAsia" w:eastAsia="仿宋_GB2312"/>
          <w:color w:val="auto"/>
          <w:sz w:val="32"/>
          <w:szCs w:val="24"/>
        </w:rPr>
        <w:t>万元，占总支出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93.55</w:t>
      </w:r>
      <w:r>
        <w:rPr>
          <w:rFonts w:hint="eastAsia" w:eastAsia="仿宋_GB2312"/>
          <w:color w:val="auto"/>
          <w:sz w:val="32"/>
          <w:szCs w:val="24"/>
        </w:rPr>
        <w:t>%，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项目支出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5.2万元，占总支出6.45%。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年收入实际完成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80.64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减少7.59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减少8.6</w:t>
      </w:r>
      <w:r>
        <w:rPr>
          <w:rFonts w:hint="eastAsia" w:ascii="仿宋" w:hAnsi="Times New Roman" w:eastAsia="仿宋" w:cs="仿宋"/>
          <w:sz w:val="32"/>
          <w:szCs w:val="32"/>
        </w:rPr>
        <w:t>%。主要原因是：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。其中：一般公共预算财政拨款收入完成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80.64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28"/>
          <w:szCs w:val="28"/>
          <w:lang w:eastAsia="zh-CN"/>
        </w:rPr>
        <w:t>减少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7.59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8.6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%，变化的主要原因是：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；政府性基金财政拨款收入完成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</w:t>
      </w:r>
      <w:r>
        <w:rPr>
          <w:rFonts w:hint="eastAsia" w:ascii="仿宋" w:hAnsi="Times New Roman" w:eastAsia="仿宋" w:cs="仿宋"/>
          <w:sz w:val="32"/>
          <w:szCs w:val="32"/>
        </w:rPr>
        <w:t>；上级补助收入完成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；事业收入完成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；经营收入完成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；其他收入完成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Lines="0"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年，本部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门支出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80.64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万元，比上年</w:t>
      </w:r>
      <w:r>
        <w:rPr>
          <w:rFonts w:hint="eastAsia" w:ascii="仿宋" w:eastAsia="仿宋" w:cs="仿宋"/>
          <w:sz w:val="32"/>
          <w:szCs w:val="32"/>
          <w:lang w:val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7.59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万元，</w:t>
      </w:r>
      <w:r>
        <w:rPr>
          <w:rFonts w:hint="eastAsia" w:ascii="仿宋" w:eastAsia="仿宋" w:cs="仿宋"/>
          <w:sz w:val="32"/>
          <w:szCs w:val="32"/>
          <w:lang w:val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8.6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%；变化的主要原因：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eastAsia="仿宋" w:cs="仿宋"/>
          <w:sz w:val="32"/>
          <w:szCs w:val="32"/>
          <w:lang w:val="zh-CN"/>
        </w:rPr>
        <w:t>，厉行节约，压缩开支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。其</w:t>
      </w:r>
      <w:r>
        <w:rPr>
          <w:rFonts w:hint="eastAsia" w:ascii="仿宋" w:hAnsi="Times New Roman" w:eastAsia="仿宋" w:cs="仿宋"/>
          <w:sz w:val="32"/>
          <w:szCs w:val="32"/>
        </w:rPr>
        <w:t>中：基本支出完成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75.44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减少4.38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5.49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厉行节约，压缩开支</w:t>
      </w:r>
      <w:r>
        <w:rPr>
          <w:rFonts w:hint="eastAsia" w:ascii="仿宋" w:hAnsi="Times New Roman" w:eastAsia="仿宋" w:cs="仿宋"/>
          <w:sz w:val="32"/>
          <w:szCs w:val="32"/>
        </w:rPr>
        <w:t>。项目支出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5.2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3.21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38.17</w:t>
      </w:r>
      <w:r>
        <w:rPr>
          <w:rFonts w:hint="eastAsia" w:ascii="仿宋" w:hAnsi="Times New Roman" w:eastAsia="仿宋" w:cs="仿宋"/>
          <w:sz w:val="28"/>
          <w:szCs w:val="28"/>
        </w:rPr>
        <w:t>%</w:t>
      </w:r>
      <w:r>
        <w:rPr>
          <w:rFonts w:hint="eastAsia" w:ascii="仿宋" w:hAnsi="Times New Roman" w:eastAsia="仿宋" w:cs="仿宋"/>
          <w:sz w:val="32"/>
          <w:szCs w:val="32"/>
        </w:rPr>
        <w:t>；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人员经费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65.45</w:t>
      </w:r>
      <w:r>
        <w:rPr>
          <w:rFonts w:hint="eastAsia" w:ascii="仿宋" w:hAnsi="Times New Roman" w:eastAsia="仿宋" w:cs="仿宋"/>
          <w:sz w:val="28"/>
          <w:szCs w:val="28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3.06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4.47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eastAsia="仿宋" w:cs="仿宋"/>
          <w:sz w:val="32"/>
          <w:szCs w:val="32"/>
          <w:lang w:val="zh-CN"/>
        </w:rPr>
        <w:t>厉行节约，压缩开支</w:t>
      </w:r>
      <w:r>
        <w:rPr>
          <w:rFonts w:hint="eastAsia" w:ascii="仿宋" w:hAnsi="Times New Roman" w:eastAsia="仿宋" w:cs="仿宋"/>
          <w:sz w:val="32"/>
          <w:szCs w:val="32"/>
        </w:rPr>
        <w:t>；公用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经费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9.98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1.76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精简开支，厉行节约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年，</w:t>
      </w:r>
      <w:r>
        <w:rPr>
          <w:rFonts w:hint="default" w:eastAsia="仿宋_GB2312"/>
          <w:color w:val="auto"/>
          <w:sz w:val="32"/>
          <w:szCs w:val="24"/>
        </w:rPr>
        <w:t>“</w:t>
      </w:r>
      <w:r>
        <w:rPr>
          <w:rFonts w:hint="eastAsia" w:eastAsia="仿宋_GB2312"/>
          <w:color w:val="auto"/>
          <w:sz w:val="32"/>
          <w:szCs w:val="24"/>
        </w:rPr>
        <w:t>三公</w:t>
      </w:r>
      <w:r>
        <w:rPr>
          <w:rFonts w:hint="default" w:eastAsia="仿宋_GB2312"/>
          <w:color w:val="auto"/>
          <w:sz w:val="32"/>
          <w:szCs w:val="24"/>
        </w:rPr>
        <w:t>”</w:t>
      </w:r>
      <w:r>
        <w:rPr>
          <w:rFonts w:hint="eastAsia" w:eastAsia="仿宋_GB2312"/>
          <w:color w:val="auto"/>
          <w:sz w:val="32"/>
          <w:szCs w:val="24"/>
        </w:rPr>
        <w:t>经费完成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</w:t>
      </w:r>
      <w:r>
        <w:rPr>
          <w:rFonts w:hint="eastAsia" w:eastAsia="仿宋_GB2312"/>
          <w:color w:val="auto"/>
          <w:sz w:val="32"/>
          <w:szCs w:val="24"/>
        </w:rPr>
        <w:t>万元，比上年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0.04万</w:t>
      </w:r>
      <w:r>
        <w:rPr>
          <w:rFonts w:hint="eastAsia" w:eastAsia="仿宋_GB2312"/>
          <w:color w:val="auto"/>
          <w:sz w:val="32"/>
          <w:szCs w:val="24"/>
        </w:rPr>
        <w:t>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6.25</w:t>
      </w:r>
      <w:r>
        <w:rPr>
          <w:rFonts w:hint="eastAsia" w:eastAsia="仿宋_GB2312"/>
          <w:color w:val="auto"/>
          <w:sz w:val="32"/>
          <w:szCs w:val="24"/>
        </w:rPr>
        <w:t>%，变化的主要原因是：</w:t>
      </w:r>
      <w:r>
        <w:rPr>
          <w:rFonts w:hint="eastAsia" w:eastAsia="仿宋_GB2312"/>
          <w:color w:val="auto"/>
          <w:sz w:val="32"/>
          <w:szCs w:val="24"/>
          <w:lang w:eastAsia="zh-CN"/>
        </w:rPr>
        <w:t>勤俭节约</w:t>
      </w:r>
      <w:r>
        <w:rPr>
          <w:rFonts w:hint="eastAsia" w:eastAsia="仿宋_GB2312"/>
          <w:color w:val="auto"/>
          <w:sz w:val="32"/>
          <w:szCs w:val="24"/>
        </w:rPr>
        <w:t>。</w:t>
      </w:r>
      <w:r>
        <w:rPr>
          <w:rFonts w:hint="eastAsia" w:eastAsia="仿宋_GB2312"/>
          <w:color w:val="auto"/>
          <w:sz w:val="32"/>
          <w:szCs w:val="24"/>
          <w:lang w:val="zh-CN"/>
        </w:rPr>
        <w:t>其中：因公出国（境）费</w:t>
      </w:r>
      <w:r>
        <w:rPr>
          <w:rFonts w:hint="default" w:eastAsia="仿宋_GB2312"/>
          <w:color w:val="auto"/>
          <w:sz w:val="32"/>
          <w:szCs w:val="24"/>
        </w:rPr>
        <w:t>0</w:t>
      </w:r>
      <w:r>
        <w:rPr>
          <w:rFonts w:hint="eastAsia" w:eastAsia="仿宋_GB2312"/>
          <w:color w:val="auto"/>
          <w:sz w:val="32"/>
          <w:szCs w:val="24"/>
        </w:rPr>
        <w:t>元，比上年无变化</w:t>
      </w:r>
      <w:r>
        <w:rPr>
          <w:rFonts w:hint="eastAsia" w:eastAsia="仿宋_GB2312"/>
          <w:color w:val="auto"/>
          <w:sz w:val="32"/>
          <w:szCs w:val="24"/>
          <w:lang w:val="zh-CN"/>
        </w:rPr>
        <w:t>；公务接待费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</w:t>
      </w:r>
      <w:r>
        <w:rPr>
          <w:rFonts w:hint="eastAsia" w:eastAsia="仿宋_GB2312"/>
          <w:color w:val="auto"/>
          <w:sz w:val="32"/>
          <w:szCs w:val="24"/>
        </w:rPr>
        <w:t>万元，比上年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0.04</w:t>
      </w:r>
      <w:r>
        <w:rPr>
          <w:rFonts w:hint="eastAsia" w:eastAsia="仿宋_GB2312"/>
          <w:color w:val="auto"/>
          <w:sz w:val="32"/>
          <w:szCs w:val="24"/>
        </w:rPr>
        <w:t>万元，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6.25</w:t>
      </w:r>
      <w:r>
        <w:rPr>
          <w:rFonts w:hint="eastAsia" w:eastAsia="仿宋_GB2312"/>
          <w:color w:val="auto"/>
          <w:sz w:val="32"/>
          <w:szCs w:val="24"/>
        </w:rPr>
        <w:t>%，变化的主要原因是：</w:t>
      </w:r>
      <w:r>
        <w:rPr>
          <w:rFonts w:hint="eastAsia" w:eastAsia="仿宋_GB2312"/>
          <w:color w:val="auto"/>
          <w:sz w:val="32"/>
          <w:szCs w:val="24"/>
          <w:lang w:eastAsia="zh-CN"/>
        </w:rPr>
        <w:t>勤俭节约</w:t>
      </w:r>
      <w:r>
        <w:rPr>
          <w:rFonts w:hint="eastAsia" w:eastAsia="仿宋_GB2312"/>
          <w:color w:val="auto"/>
          <w:sz w:val="32"/>
          <w:szCs w:val="24"/>
          <w:lang w:val="zh-CN"/>
        </w:rPr>
        <w:t>；公务用车购置及运行维护费</w:t>
      </w:r>
      <w:r>
        <w:rPr>
          <w:rFonts w:hint="default" w:eastAsia="仿宋_GB2312"/>
          <w:color w:val="auto"/>
          <w:sz w:val="32"/>
          <w:szCs w:val="24"/>
          <w:lang w:val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元，比上年无变化</w:t>
      </w:r>
      <w:r>
        <w:rPr>
          <w:rFonts w:hint="eastAsia" w:eastAsia="仿宋_GB2312"/>
          <w:color w:val="auto"/>
          <w:sz w:val="32"/>
          <w:szCs w:val="24"/>
          <w:lang w:val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80.64</w:t>
      </w:r>
      <w:r>
        <w:rPr>
          <w:rFonts w:hint="eastAsia" w:eastAsia="仿宋_GB2312"/>
          <w:color w:val="auto"/>
          <w:sz w:val="32"/>
          <w:szCs w:val="24"/>
        </w:rPr>
        <w:t>万元，其中，一般公共服务支出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65.02</w:t>
      </w:r>
      <w:r>
        <w:rPr>
          <w:rFonts w:hint="eastAsia" w:eastAsia="仿宋_GB2312"/>
          <w:color w:val="auto"/>
          <w:sz w:val="32"/>
          <w:szCs w:val="24"/>
        </w:rPr>
        <w:t>万元，占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80.63</w:t>
      </w:r>
      <w:r>
        <w:rPr>
          <w:rFonts w:hint="eastAsia" w:eastAsia="仿宋_GB2312"/>
          <w:color w:val="auto"/>
          <w:sz w:val="32"/>
          <w:szCs w:val="24"/>
        </w:rPr>
        <w:t xml:space="preserve"> %；社会保障和就业支出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6.81万元，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8.45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卫生健康支出3.7万元，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4.59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住房保障支出5.11万元，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6.33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eastAsia="zh-CN"/>
        </w:rPr>
        <w:t>教育支出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0万元，占0%；</w:t>
      </w:r>
      <w:r>
        <w:rPr>
          <w:rFonts w:hint="eastAsia" w:eastAsia="仿宋_GB2312"/>
          <w:color w:val="auto"/>
          <w:sz w:val="32"/>
          <w:szCs w:val="24"/>
        </w:rPr>
        <w:t>公共安全支出0万元，占0 %。具体安排情况如下：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年本部门基本支出预算数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77.25</w:t>
      </w:r>
      <w:r>
        <w:rPr>
          <w:rFonts w:hint="eastAsia" w:eastAsia="仿宋_GB2312"/>
          <w:color w:val="auto"/>
          <w:sz w:val="32"/>
          <w:szCs w:val="24"/>
        </w:rPr>
        <w:t>万元，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其中，人员经费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67.25万元，公用经费10万元。</w:t>
      </w:r>
      <w:r>
        <w:rPr>
          <w:rFonts w:hint="eastAsia" w:eastAsia="仿宋_GB2312"/>
          <w:color w:val="auto"/>
          <w:sz w:val="32"/>
          <w:szCs w:val="24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（二）项目支出情况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年本部门项目支出预算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5.23</w:t>
      </w:r>
      <w:r>
        <w:rPr>
          <w:rFonts w:hint="eastAsia" w:eastAsia="仿宋_GB2312"/>
          <w:color w:val="auto"/>
          <w:sz w:val="32"/>
          <w:szCs w:val="24"/>
        </w:rPr>
        <w:t>万元，主要是</w:t>
      </w:r>
      <w:r>
        <w:rPr>
          <w:rFonts w:hint="eastAsia" w:eastAsia="仿宋_GB2312"/>
          <w:sz w:val="32"/>
          <w:szCs w:val="32"/>
        </w:rPr>
        <w:t>考察调研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对外联络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行业商会组建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维权服务、光彩事业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eastAsia" w:eastAsia="仿宋_GB2312"/>
          <w:sz w:val="32"/>
          <w:szCs w:val="32"/>
        </w:rPr>
        <w:t>民企联村支出</w:t>
      </w:r>
      <w:r>
        <w:rPr>
          <w:rFonts w:hint="eastAsia" w:eastAsia="仿宋_GB2312"/>
          <w:sz w:val="32"/>
          <w:szCs w:val="32"/>
          <w:lang w:eastAsia="zh-CN"/>
        </w:rPr>
        <w:t>，以及因工作需要，新增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举办“一双王牌”招商推荐会开支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三、政府性基金预算支出情况。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我单位无政府性基金预算支出情况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四、国有资本经营预算支出情况。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我单位无国有资本经营预算支出情况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社会保险基金预算支出情况。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</w:t>
      </w:r>
      <w:r>
        <w:rPr>
          <w:rFonts w:hint="eastAsia" w:eastAsia="仿宋_GB2312"/>
          <w:color w:val="auto"/>
          <w:sz w:val="32"/>
          <w:szCs w:val="24"/>
          <w:lang w:eastAsia="zh-CN"/>
        </w:rPr>
        <w:t>社会保障</w:t>
      </w:r>
      <w:r>
        <w:rPr>
          <w:rFonts w:hint="eastAsia" w:eastAsia="仿宋_GB2312"/>
          <w:color w:val="auto"/>
          <w:sz w:val="32"/>
          <w:szCs w:val="24"/>
        </w:rPr>
        <w:t>拨款预算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6.81</w:t>
      </w:r>
      <w:r>
        <w:rPr>
          <w:rFonts w:hint="eastAsia" w:eastAsia="仿宋_GB2312"/>
          <w:color w:val="auto"/>
          <w:sz w:val="32"/>
          <w:szCs w:val="24"/>
        </w:rPr>
        <w:t>万元</w:t>
      </w:r>
      <w:r>
        <w:rPr>
          <w:rFonts w:hint="eastAsia" w:eastAsia="仿宋_GB2312"/>
          <w:color w:val="auto"/>
          <w:sz w:val="32"/>
          <w:szCs w:val="24"/>
          <w:lang w:eastAsia="zh-CN"/>
        </w:rPr>
        <w:t>，实际支出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6.81万元，住房保障拨款预算5.11万元，实际支出5.11万元。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default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根据预算绩效管理要求，我部门组织对</w:t>
      </w: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24"/>
        </w:rPr>
        <w:t>年度一般公共预算项目支出全面开展绩效自评，共涉及资金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80.63</w:t>
      </w:r>
      <w:r>
        <w:rPr>
          <w:rFonts w:hint="default" w:eastAsia="仿宋_GB2312"/>
          <w:color w:val="auto"/>
          <w:sz w:val="32"/>
          <w:szCs w:val="24"/>
        </w:rPr>
        <w:t>万元，占一般公共预算项目支出总额的100%。我单位本年度无政府性基金预算项目和国有资本经营预算项目支出，因此未开展相关绩效评价工作。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组织对工商联1个单位开展整体支出绩效评价，涉及一般公共预算支出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80.63</w:t>
      </w:r>
      <w:r>
        <w:rPr>
          <w:rFonts w:hint="default" w:eastAsia="仿宋_GB2312"/>
          <w:color w:val="auto"/>
          <w:sz w:val="32"/>
          <w:szCs w:val="24"/>
        </w:rPr>
        <w:t>万元，政府性基金预算支出0万元。组织对考察调研、对外联络、行业商会组建、维权服务、光彩事业、民企联村等6个项目开展了部门评价。根据年初设定的绩效门标，项</w:t>
      </w:r>
      <w:r>
        <w:rPr>
          <w:rFonts w:hint="eastAsia" w:eastAsia="仿宋_GB2312"/>
          <w:color w:val="auto"/>
          <w:sz w:val="32"/>
          <w:szCs w:val="24"/>
          <w:lang w:eastAsia="zh-CN"/>
        </w:rPr>
        <w:t>目</w:t>
      </w:r>
      <w:r>
        <w:rPr>
          <w:rFonts w:hint="default" w:eastAsia="仿宋_GB2312"/>
          <w:color w:val="auto"/>
          <w:sz w:val="32"/>
          <w:szCs w:val="24"/>
        </w:rPr>
        <w:t>绩效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自</w:t>
      </w:r>
      <w:r>
        <w:rPr>
          <w:rFonts w:hint="default" w:eastAsia="仿宋_GB2312"/>
          <w:color w:val="auto"/>
          <w:sz w:val="32"/>
          <w:szCs w:val="24"/>
        </w:rPr>
        <w:t>评得分为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99</w:t>
      </w:r>
      <w:r>
        <w:rPr>
          <w:rFonts w:hint="default" w:eastAsia="仿宋_GB2312"/>
          <w:color w:val="auto"/>
          <w:sz w:val="32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1、加强理想信念教育。及时宣传习近平总书记最新重要讲话精神。开展红色教育进企业宣讲活动。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2、光彩事业。引导昌源电子重阳节给敬老院赠送物资，价值3万元，泷泊之星大酒店向基金会捐赠4000元等。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3、加强会员队伍建设，新增会员30名，协助江村商会成立。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4、积极做好“湘商回归”工作。协助县委、县政府积极做好“迎回建”，通过节日问候、上门走访等形式，保持与双牌籍在外企业家的在线联系。5月下旬，筹备参加粤港澳大湾区客商来双牌投资考察活动，对外宣传推荐双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5、全力优化营商环境。①建立县级领导干部联系民营企业制度，与50家重点民营企业建立联企结对台账。②开展政企交流座谈日活动2次。③走访企业，提前化解涉企问题10余个，企业满意度高。④联合县司法局组织湖南毛旺律师事务所为企业提供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6、深化“万企兴万村”行动，助力乡村振兴。昌源电子帮助五里牌养殖场，上梧江虎爪姜基地、五里牌赢丰果园等线上直播销售，线下推荐销售。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7、参政议政。全县非公经济代表、委员提交议案建议有10件以上。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8、推介招商。陪同澳门客商考察团赴上梧江考察高山虎爪姜产业。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七、存在的问题及原因分析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预算编制细化不够，年初预算和科目设置与实际发生情况有一定的出入。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eastAsia="仿宋_GB2312"/>
          <w:color w:val="auto"/>
          <w:sz w:val="32"/>
          <w:szCs w:val="24"/>
        </w:rPr>
        <w:t>争取配备专业人员从事财务工作，结合实际情况，科学设置支出科目，规范财务核算，完整披露相关信息。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3、加强单位内控制度建设，完善相关内部管理制度。按县财政局要求开展内部控制建设工作，通过查找内部管理中的薄弱环节</w:t>
      </w:r>
      <w:r>
        <w:rPr>
          <w:rFonts w:hint="eastAsia" w:eastAsia="仿宋_GB2312"/>
          <w:color w:val="auto"/>
          <w:sz w:val="32"/>
          <w:szCs w:val="24"/>
          <w:lang w:eastAsia="zh-CN"/>
        </w:rPr>
        <w:t>完善管理</w:t>
      </w:r>
      <w:r>
        <w:rPr>
          <w:rFonts w:hint="eastAsia" w:eastAsia="仿宋_GB2312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绩效自评报告由财政局在网站统一公开。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166.67%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79.82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77.25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75.44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制订推进厉行节约的相关制度，降低行政运行成本，提高资金使用绩效。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彭燕琳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20250618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双牌县工商业联合会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83.42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85.42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80.63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94.39%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85.39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72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1680" w:firstLineChars="7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努力建强商会组织；精心推进教育引导；突出抓好会员服务；科学开展调查研究；全力服务发展中心。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1、加强理想信念教育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及时宣传习近平总书记最新重要讲话精神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开展红色教育进企业宣讲活动。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2、光彩事业。引导昌源电子重阳节给敬老院赠送物资，价值3万元，泷泊之星大酒店向基金会捐赠4000元等。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3、加强会员队伍建设，新增会员30名，协助江村商会成立。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4、积极做好“湘商回归”工作。协助县委、县政府积极做好“迎回建”，保持与双牌籍在外企业家的在线联系。筹备参加粤港澳大湾区客商来双牌投资考察活动。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、全力优化营商环境。建立县级领导干部联系民营企业制度，与50家重点民营企业建立联企结对台账。开展政企交流座谈日活动2次。走访企业，提前化解涉企问题10余个，企业满意度高。④联合县司法局组织湖南毛旺律师事务所为企业提供法律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6、深化“万企兴万村”行动，助力乡村振兴。昌源电子帮助五里牌养殖场，上梧江虎爪姜基地、五里牌赢丰果园等线上直播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线下推荐销售。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7、参政议政。全县非公经济代表、委员提交议案建议有10件以上。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8、推介招商。陪同澳门客商考察团赴上梧江考察高山虎爪姜产业。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发展新会员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新增8%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完成8%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开展非公经济人士培训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开展“万企兴万村”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企业与村结对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20家企业与村结对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引导和服务全县非公经济人士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政策宣传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优化营商环境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影响程度提高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维护民营企业合法权益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维护合法权益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化解问题10个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≧95%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单位业务经费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用于工商联日常运转、考察调研、对外联络、行业商会组建、维权服务、光彩事业、民企联村和建强商会组织，促进“两个健康”，抓好会员服务等。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1、加强理想信念教育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及时宣传习近平总书记最新重要讲话精神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开展红色教育进企业宣讲活动。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2、光彩事业。引导昌源电子重阳节给敬老院赠送物资，价值3万元，泷泊之星大酒店向基金会捐赠4000元等。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3、加强会员队伍建设，新增会员30名，协助江村商会成立。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4、积极做好“湘商回归”工作。协助县委、县政府积极做好“迎回建”，保持与双牌籍在外企业家的在线联系。筹备参加粤港澳大湾区客商来双牌投资考察活动。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、全力优化营商环境。建立县级领导干部联系民营企业制度，与50家重点民营企业建立联企结对台账。开展政企交流座谈日活动2次。走访企业，提前化解涉企问题10余个，企业满意度高。④联合县司法局组织湖南毛旺律师事务所为企业提供法律服务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6、深化“万企兴万村”行动，助力乡村振兴。昌源电子帮助五里牌养殖场，上梧江虎爪姜基地、五里牌赢丰果园等线上直播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线下推荐销售。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7、参政议政。全县非公经济代表、委员提交议案建议有10件以上。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8、推介招商。陪同澳门客商考察团赴上梧江考察高山虎爪姜产业。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单位业务经费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双牌县工商业联合会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双牌县工商业联合会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用于工商联日常运转、考察调研、对外联络、行业商会组建、维权服务、光彩事业、民企联村和建强商会组织，促进“两个健康”，抓好会员服务等。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1、加强理想信念教育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及时宣传习近平总书记最新重要讲话精神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开展红色教育进企业宣讲活动。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2、光彩事业。引导昌源电子重阳节给敬老院赠送物资，价值3万元，泷泊之星大酒店向基金会捐赠4000元等。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3、加强会员队伍建设，新增会员30名，协助江村商会成立。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4、积极做好“湘商回归”。协助县委、县政府积极做好“迎回建”，保持与双牌籍在外企业家的在线联系。参加粤港澳大湾区客商来双牌考察活动。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、全力优化营商环境。建立县级领导干部联系民营企业制度，与50家重点民营企业建立联企结对台账。开展政企交流座谈日活动2次。走访企业，提前化解涉企问题10余个，企业满意度高。联合县司法局组织湖南毛旺律师事务所为企业提供法律服务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6、深化“万企兴万村”行动，助力乡村振兴。昌源电子帮助五里牌养殖场，上梧江虎爪姜基地、五里牌赢丰果园等线上直播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线下推荐销售。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7、参政议政。全县非公经济代表、委员提交议案建议有10件以上。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8、推介招商。陪同澳门客商考察团赴上梧江考察高山虎爪姜产业。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经济成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维持单位运转及各项事业发展所需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提高服务水平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大幅度提高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有所提高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生态环境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优化营商环境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发展新会员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会员覆盖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经济效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与非公人士联络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加强联络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开展交流活动2次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生态效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引导和服务全县非公经济人士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引导和服务全县非公经济人士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引导昌源电子给敬老院赠送物资价值3万元，泷泊之星捐赠4000元等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社会效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优化营商环境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影响程度提高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得到提高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满意度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服务对象满意，全年无投诉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满意度95%以上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587" w:bottom="1270" w:left="1587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</w:t>
      </w:r>
      <w:bookmarkStart w:id="1" w:name="_GoBack"/>
      <w:bookmarkEnd w:id="1"/>
    </w:p>
    <w:p>
      <w:pPr>
        <w:spacing w:beforeLines="0" w:after="120" w:afterLines="50" w:line="600" w:lineRule="exact"/>
        <w:rPr>
          <w:rFonts w:hint="default" w:eastAsia="黑体"/>
          <w:color w:val="auto"/>
          <w:sz w:val="32"/>
          <w:szCs w:val="24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v67+xyAEAAHo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fwQ9J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F607"/>
    <w:multiLevelType w:val="singleLevel"/>
    <w:tmpl w:val="EF66F60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FDCDBCE"/>
    <w:multiLevelType w:val="singleLevel"/>
    <w:tmpl w:val="7FDCDBC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zY2MWJmY2UxZjY2NTRkNzdlMThkMGIzMTRjNWIifQ=="/>
  </w:docVars>
  <w:rsids>
    <w:rsidRoot w:val="00047563"/>
    <w:rsid w:val="00047563"/>
    <w:rsid w:val="01516DB1"/>
    <w:rsid w:val="02A9108F"/>
    <w:rsid w:val="034115A5"/>
    <w:rsid w:val="03E07A24"/>
    <w:rsid w:val="04095970"/>
    <w:rsid w:val="058A7C48"/>
    <w:rsid w:val="075B11DC"/>
    <w:rsid w:val="07B8614D"/>
    <w:rsid w:val="07C117A4"/>
    <w:rsid w:val="0A430BD6"/>
    <w:rsid w:val="0A7C4624"/>
    <w:rsid w:val="0BE67CB5"/>
    <w:rsid w:val="0C862E2E"/>
    <w:rsid w:val="0E4A266A"/>
    <w:rsid w:val="0E8F2EF4"/>
    <w:rsid w:val="0EFD311E"/>
    <w:rsid w:val="0F953DB9"/>
    <w:rsid w:val="108F61E9"/>
    <w:rsid w:val="10E47097"/>
    <w:rsid w:val="11671070"/>
    <w:rsid w:val="127C300E"/>
    <w:rsid w:val="12D935DF"/>
    <w:rsid w:val="142F2E14"/>
    <w:rsid w:val="162111F9"/>
    <w:rsid w:val="16CC787C"/>
    <w:rsid w:val="174C1B02"/>
    <w:rsid w:val="17B27317"/>
    <w:rsid w:val="17D3192A"/>
    <w:rsid w:val="1A1308E3"/>
    <w:rsid w:val="1BDD40F5"/>
    <w:rsid w:val="1C2B232F"/>
    <w:rsid w:val="1CAE0268"/>
    <w:rsid w:val="1D681A07"/>
    <w:rsid w:val="1D7A385E"/>
    <w:rsid w:val="1DF57685"/>
    <w:rsid w:val="1F533A49"/>
    <w:rsid w:val="1F5E7DD7"/>
    <w:rsid w:val="206A030D"/>
    <w:rsid w:val="21E7557F"/>
    <w:rsid w:val="222E7347"/>
    <w:rsid w:val="24613118"/>
    <w:rsid w:val="26ED05FB"/>
    <w:rsid w:val="26F96584"/>
    <w:rsid w:val="287973FD"/>
    <w:rsid w:val="2ABD3E50"/>
    <w:rsid w:val="2C3818FC"/>
    <w:rsid w:val="2E9A2AA1"/>
    <w:rsid w:val="2EB73530"/>
    <w:rsid w:val="2FD951A4"/>
    <w:rsid w:val="30D82A3C"/>
    <w:rsid w:val="30FF50DE"/>
    <w:rsid w:val="311B16FE"/>
    <w:rsid w:val="32830F54"/>
    <w:rsid w:val="33CA3FD6"/>
    <w:rsid w:val="34443E4D"/>
    <w:rsid w:val="344C1C80"/>
    <w:rsid w:val="35EE6FE0"/>
    <w:rsid w:val="36FB00F6"/>
    <w:rsid w:val="374F4902"/>
    <w:rsid w:val="37C37093"/>
    <w:rsid w:val="37E6017D"/>
    <w:rsid w:val="37EB016A"/>
    <w:rsid w:val="38390AC9"/>
    <w:rsid w:val="386C6BE3"/>
    <w:rsid w:val="38931AE8"/>
    <w:rsid w:val="38A91071"/>
    <w:rsid w:val="395150E1"/>
    <w:rsid w:val="3BA31CB7"/>
    <w:rsid w:val="3D4A5881"/>
    <w:rsid w:val="3D4C6C16"/>
    <w:rsid w:val="417844D6"/>
    <w:rsid w:val="42F20DCB"/>
    <w:rsid w:val="440F6F8F"/>
    <w:rsid w:val="450B1E4C"/>
    <w:rsid w:val="483353C0"/>
    <w:rsid w:val="49BC672A"/>
    <w:rsid w:val="4AC97E76"/>
    <w:rsid w:val="4B6925A5"/>
    <w:rsid w:val="4B984988"/>
    <w:rsid w:val="4CBB7CB4"/>
    <w:rsid w:val="4D4D1EB8"/>
    <w:rsid w:val="4D53574A"/>
    <w:rsid w:val="4F2756D8"/>
    <w:rsid w:val="511D718F"/>
    <w:rsid w:val="53D83941"/>
    <w:rsid w:val="5579054F"/>
    <w:rsid w:val="56C63E25"/>
    <w:rsid w:val="574F3E1A"/>
    <w:rsid w:val="59262959"/>
    <w:rsid w:val="5AD912E0"/>
    <w:rsid w:val="5AE66844"/>
    <w:rsid w:val="5D474274"/>
    <w:rsid w:val="5D5F1D5C"/>
    <w:rsid w:val="5FC27DB0"/>
    <w:rsid w:val="60FA50F9"/>
    <w:rsid w:val="62230C2C"/>
    <w:rsid w:val="62487121"/>
    <w:rsid w:val="63B868A3"/>
    <w:rsid w:val="63E47698"/>
    <w:rsid w:val="64D70EA0"/>
    <w:rsid w:val="68A044D6"/>
    <w:rsid w:val="6AAE27AE"/>
    <w:rsid w:val="6B2025A1"/>
    <w:rsid w:val="6B3E29C2"/>
    <w:rsid w:val="6EB04BD9"/>
    <w:rsid w:val="6EB9331C"/>
    <w:rsid w:val="70D32F6E"/>
    <w:rsid w:val="76A26DB3"/>
    <w:rsid w:val="77894891"/>
    <w:rsid w:val="778C27FC"/>
    <w:rsid w:val="78886099"/>
    <w:rsid w:val="7AB14320"/>
    <w:rsid w:val="7C265CBD"/>
    <w:rsid w:val="7C821233"/>
    <w:rsid w:val="7D837B99"/>
    <w:rsid w:val="7FB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3528</Words>
  <Characters>3928</Characters>
  <Lines>0</Lines>
  <Paragraphs>0</Paragraphs>
  <TotalTime>8</TotalTime>
  <ScaleCrop>false</ScaleCrop>
  <LinksUpToDate>false</LinksUpToDate>
  <CharactersWithSpaces>4140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2023-05-05T09:46:00Z</dcterms:created>
  <dc:creator>Administrator</dc:creator>
  <cp:lastModifiedBy>kylin</cp:lastModifiedBy>
  <dcterms:modified xsi:type="dcterms:W3CDTF">2025-09-16T09:34:28Z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9109D8C7F964471684C1447B5AA8ACC8_11</vt:lpwstr>
  </property>
  <property fmtid="{D5CDD505-2E9C-101B-9397-08002B2CF9AE}" pid="4" name="KSOTemplateDocerSaveRecord">
    <vt:lpwstr>eyJoZGlkIjoiMmM0YzY2MWJmY2UxZjY2NTRkNzdlMThkMGIzMTRjNWIiLCJ1c2VySWQiOiI1MjQxNjIzOTQifQ==</vt:lpwstr>
  </property>
</Properties>
</file>