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方正小标宋简体" w:eastAsia="方正小标宋简体"/>
          <w:sz w:val="52"/>
        </w:rPr>
      </w:pPr>
    </w:p>
    <w:p>
      <w:pPr>
        <w:jc w:val="center"/>
        <w:outlineLvl w:val="1"/>
        <w:rPr>
          <w:rFonts w:hint="default" w:ascii="方正小标宋简体" w:eastAsia="方正小标宋简体"/>
          <w:sz w:val="52"/>
        </w:rPr>
      </w:pPr>
    </w:p>
    <w:p>
      <w:pPr>
        <w:jc w:val="center"/>
        <w:outlineLvl w:val="1"/>
        <w:rPr>
          <w:rFonts w:hint="default" w:ascii="方正小标宋简体" w:eastAsia="方正小标宋简体"/>
          <w:sz w:val="52"/>
        </w:rPr>
      </w:pPr>
      <w:r>
        <w:rPr>
          <w:rFonts w:ascii="方正小标宋简体" w:eastAsia="方正小标宋简体"/>
          <w:sz w:val="52"/>
        </w:rPr>
        <w:t>2024年度中共双牌县委编办整体支出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ind w:firstLine="1280" w:firstLineChars="400"/>
        <w:jc w:val="left"/>
        <w:rPr>
          <w:rFonts w:hint="default" w:eastAsia="仿宋_GB2312"/>
          <w:sz w:val="32"/>
          <w:u w:val="single"/>
        </w:rPr>
      </w:pPr>
      <w:r>
        <w:rPr>
          <w:rFonts w:eastAsia="仿宋_GB2312"/>
          <w:sz w:val="32"/>
        </w:rPr>
        <w:t>单位名称：</w:t>
      </w:r>
      <w:r>
        <w:rPr>
          <w:rFonts w:eastAsia="仿宋_GB2312"/>
          <w:sz w:val="32"/>
          <w:u w:val="single"/>
        </w:rPr>
        <w:t>中共双牌县委机构编制委员会办公室</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2025年6月11日</w:t>
      </w:r>
    </w:p>
    <w:p>
      <w:pPr>
        <w:jc w:val="center"/>
        <w:rPr>
          <w:rFonts w:hint="default" w:eastAsia="黑体"/>
          <w:sz w:val="32"/>
        </w:rPr>
      </w:pPr>
    </w:p>
    <w:p>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基本情况</w:t>
      </w:r>
    </w:p>
    <w:p>
      <w:pPr>
        <w:spacing w:line="600" w:lineRule="exact"/>
        <w:ind w:firstLine="600" w:firstLineChars="200"/>
        <w:rPr>
          <w:rFonts w:hint="default" w:ascii="仿宋" w:hAnsi="仿宋" w:eastAsia="仿宋"/>
          <w:sz w:val="30"/>
          <w:szCs w:val="30"/>
        </w:rPr>
      </w:pPr>
      <w:r>
        <w:rPr>
          <w:rFonts w:ascii="仿宋" w:hAnsi="仿宋" w:eastAsia="仿宋"/>
          <w:sz w:val="30"/>
          <w:szCs w:val="30"/>
        </w:rPr>
        <w:t>（一）单位基本情况</w:t>
      </w:r>
    </w:p>
    <w:p>
      <w:pPr>
        <w:autoSpaceDE w:val="0"/>
        <w:spacing w:line="600" w:lineRule="exact"/>
        <w:ind w:firstLine="640"/>
        <w:rPr>
          <w:rFonts w:hint="default" w:ascii="仿宋" w:eastAsia="仿宋"/>
          <w:sz w:val="32"/>
          <w:szCs w:val="32"/>
        </w:rPr>
      </w:pPr>
      <w:r>
        <w:rPr>
          <w:rFonts w:ascii="仿宋" w:hAnsi="仿宋" w:eastAsia="仿宋"/>
          <w:sz w:val="30"/>
          <w:szCs w:val="30"/>
        </w:rPr>
        <w:t>部门职能职责：</w:t>
      </w:r>
      <w:r>
        <w:rPr>
          <w:rFonts w:ascii="仿宋" w:eastAsia="仿宋"/>
          <w:sz w:val="32"/>
          <w:szCs w:val="32"/>
        </w:rPr>
        <w:t>1、贯彻执行中央和省、市有关政策法规，统一管理全县机构编制工作；2、拟订总体方案并组织实施全县党政机构改革、事业单位改革、乡镇机构改革，审核县直各部门和乡镇党政机构改革方案；3、管职能配置和机构设置，协调县委各部门之间、县政府各部门之间、县委各部门和县政府各部门之间以及县直各部门与乡镇场之间的职责分工和事权划分；4、负责承办行政审批制度改革，推进简政放权、放管结合、优化服务等工作；5、管人员编制，拟订全县行政编制总额分配方案，拟订全县事业单位机构编制标准和管理办法，管理全县乡镇人员编制总量；6、管领导职数，提出县级职数配备调整方案，审定科级职数；7、负责全县机构编制实名制管理、人员编制与经费预算联合管理、统发审核管理和统计工作；8、依法开展事业单位法人登记管理；9、会同有关部门开展机构编制监督检查，查处违规违纪行为；10、承办县委、县政府和县编委交办的其他事项。</w:t>
      </w:r>
    </w:p>
    <w:p>
      <w:pPr>
        <w:autoSpaceDE w:val="0"/>
        <w:spacing w:line="600" w:lineRule="exact"/>
        <w:ind w:firstLine="640"/>
        <w:rPr>
          <w:rFonts w:hint="default"/>
        </w:rPr>
      </w:pPr>
      <w:r>
        <w:rPr>
          <w:rFonts w:ascii="仿宋" w:eastAsia="仿宋"/>
          <w:sz w:val="32"/>
          <w:szCs w:val="32"/>
        </w:rPr>
        <w:t>内设机构和人员构成情况：县委编办设5个内设机构：1、办公室；2、机构编制管理股；3、监督检查股；4、实名制管理股；5、事业单位登记股。下设副科级事业单位</w:t>
      </w:r>
      <w:r>
        <w:rPr>
          <w:rFonts w:eastAsia="仿宋"/>
          <w:sz w:val="32"/>
          <w:szCs w:val="32"/>
        </w:rPr>
        <w:t>1</w:t>
      </w:r>
      <w:r>
        <w:rPr>
          <w:rFonts w:ascii="仿宋" w:eastAsia="仿宋"/>
          <w:sz w:val="32"/>
          <w:szCs w:val="32"/>
        </w:rPr>
        <w:t>个：双牌县机构编制事务中心。截止</w:t>
      </w:r>
      <w:r>
        <w:rPr>
          <w:rFonts w:eastAsia="仿宋"/>
          <w:sz w:val="32"/>
          <w:szCs w:val="32"/>
        </w:rPr>
        <w:t>2024</w:t>
      </w:r>
      <w:r>
        <w:rPr>
          <w:rFonts w:ascii="仿宋" w:eastAsia="仿宋"/>
          <w:sz w:val="32"/>
          <w:szCs w:val="32"/>
        </w:rPr>
        <w:t>年</w:t>
      </w:r>
      <w:r>
        <w:rPr>
          <w:rFonts w:eastAsia="仿宋"/>
          <w:sz w:val="32"/>
          <w:szCs w:val="32"/>
        </w:rPr>
        <w:t>12</w:t>
      </w:r>
      <w:r>
        <w:rPr>
          <w:rFonts w:ascii="仿宋" w:eastAsia="仿宋"/>
          <w:sz w:val="32"/>
          <w:szCs w:val="32"/>
        </w:rPr>
        <w:t>月</w:t>
      </w:r>
      <w:r>
        <w:rPr>
          <w:rFonts w:eastAsia="仿宋"/>
          <w:sz w:val="32"/>
          <w:szCs w:val="32"/>
        </w:rPr>
        <w:t>31</w:t>
      </w:r>
      <w:r>
        <w:rPr>
          <w:rFonts w:ascii="仿宋" w:eastAsia="仿宋"/>
          <w:sz w:val="32"/>
          <w:szCs w:val="32"/>
        </w:rPr>
        <w:t>日，县委编办实有人数11人，其中：在职人员10人（行政人员4人，全额事业人数5人，后勤人数1人）；退休人数1人，未存在人员超编情况。</w:t>
      </w:r>
    </w:p>
    <w:p>
      <w:pPr>
        <w:spacing w:line="600" w:lineRule="exact"/>
        <w:ind w:firstLine="600" w:firstLineChars="200"/>
        <w:rPr>
          <w:rFonts w:hint="default" w:ascii="仿宋" w:hAnsi="仿宋" w:eastAsia="仿宋"/>
          <w:sz w:val="30"/>
          <w:szCs w:val="30"/>
        </w:rPr>
      </w:pPr>
      <w:r>
        <w:rPr>
          <w:rFonts w:ascii="仿宋" w:hAnsi="仿宋" w:eastAsia="仿宋"/>
          <w:sz w:val="30"/>
          <w:szCs w:val="30"/>
        </w:rPr>
        <w:t>（二）单位2024年度整体支出绩效目标，项目支出绩效目标</w:t>
      </w:r>
    </w:p>
    <w:p>
      <w:pPr>
        <w:spacing w:line="600" w:lineRule="exact"/>
        <w:ind w:firstLine="600" w:firstLineChars="200"/>
        <w:rPr>
          <w:rFonts w:hint="default" w:ascii="仿宋" w:hAnsi="仿宋" w:eastAsia="仿宋"/>
          <w:sz w:val="30"/>
          <w:szCs w:val="30"/>
        </w:rPr>
      </w:pPr>
      <w:r>
        <w:rPr>
          <w:rFonts w:ascii="仿宋" w:hAnsi="仿宋" w:eastAsia="仿宋"/>
          <w:sz w:val="30"/>
          <w:szCs w:val="30"/>
        </w:rPr>
        <w:t>1、整体支出绩效目标：</w:t>
      </w:r>
    </w:p>
    <w:p>
      <w:pPr>
        <w:spacing w:line="600" w:lineRule="exact"/>
        <w:ind w:firstLine="600" w:firstLineChars="200"/>
        <w:rPr>
          <w:rFonts w:hint="default" w:ascii="仿宋" w:hAnsi="仿宋" w:eastAsia="仿宋"/>
          <w:sz w:val="30"/>
          <w:szCs w:val="30"/>
        </w:rPr>
      </w:pPr>
      <w:r>
        <w:rPr>
          <w:rFonts w:ascii="仿宋" w:hAnsi="仿宋" w:eastAsia="仿宋"/>
          <w:sz w:val="30"/>
          <w:szCs w:val="30"/>
        </w:rPr>
        <w:t>①简政放权、优化机构；</w:t>
      </w:r>
    </w:p>
    <w:p>
      <w:pPr>
        <w:spacing w:line="600" w:lineRule="exact"/>
        <w:ind w:firstLine="600" w:firstLineChars="200"/>
        <w:rPr>
          <w:rFonts w:hint="default" w:ascii="仿宋" w:hAnsi="仿宋" w:eastAsia="仿宋"/>
          <w:sz w:val="30"/>
          <w:szCs w:val="30"/>
        </w:rPr>
      </w:pPr>
      <w:r>
        <w:rPr>
          <w:rFonts w:ascii="仿宋" w:hAnsi="仿宋" w:eastAsia="仿宋"/>
          <w:sz w:val="30"/>
          <w:szCs w:val="30"/>
        </w:rPr>
        <w:t>②强化事业单位公益属性，理顺体制、机制，激发事业单位活力；</w:t>
      </w:r>
    </w:p>
    <w:p>
      <w:pPr>
        <w:spacing w:line="600" w:lineRule="exact"/>
        <w:ind w:firstLine="600" w:firstLineChars="200"/>
        <w:rPr>
          <w:rFonts w:hint="default" w:ascii="仿宋" w:hAnsi="仿宋" w:eastAsia="仿宋"/>
          <w:sz w:val="30"/>
          <w:szCs w:val="30"/>
        </w:rPr>
      </w:pPr>
      <w:r>
        <w:rPr>
          <w:rFonts w:ascii="仿宋" w:hAnsi="仿宋" w:eastAsia="仿宋"/>
          <w:sz w:val="30"/>
          <w:szCs w:val="30"/>
        </w:rPr>
        <w:t>③提高行政效能，打造满意的服务型政府。</w:t>
      </w:r>
    </w:p>
    <w:p>
      <w:pPr>
        <w:spacing w:line="600" w:lineRule="exact"/>
        <w:ind w:firstLine="600" w:firstLineChars="200"/>
        <w:rPr>
          <w:rFonts w:hint="default" w:ascii="仿宋" w:hAnsi="仿宋" w:eastAsia="仿宋" w:cs="Times New Roman"/>
          <w:sz w:val="30"/>
          <w:szCs w:val="30"/>
        </w:rPr>
      </w:pPr>
      <w:r>
        <w:rPr>
          <w:rFonts w:ascii="仿宋" w:hAnsi="仿宋" w:eastAsia="仿宋" w:cs="Times New Roman"/>
          <w:sz w:val="30"/>
          <w:szCs w:val="30"/>
        </w:rPr>
        <w:t>2、专项资金绩效目标：</w:t>
      </w:r>
    </w:p>
    <w:p>
      <w:pPr>
        <w:spacing w:line="600" w:lineRule="exact"/>
        <w:ind w:firstLine="600" w:firstLineChars="200"/>
        <w:rPr>
          <w:rFonts w:hint="default" w:ascii="仿宋" w:hAnsi="仿宋" w:eastAsia="仿宋"/>
          <w:sz w:val="30"/>
          <w:szCs w:val="30"/>
        </w:rPr>
      </w:pPr>
      <w:r>
        <w:rPr>
          <w:rFonts w:ascii="仿宋" w:hAnsi="仿宋" w:eastAsia="仿宋"/>
          <w:sz w:val="30"/>
          <w:szCs w:val="30"/>
        </w:rPr>
        <w:t>①政府机构改革。</w:t>
      </w:r>
    </w:p>
    <w:p>
      <w:pPr>
        <w:spacing w:line="600" w:lineRule="exact"/>
        <w:ind w:firstLine="600" w:firstLineChars="200"/>
        <w:rPr>
          <w:rFonts w:hint="default" w:ascii="仿宋" w:hAnsi="仿宋" w:eastAsia="仿宋"/>
          <w:sz w:val="30"/>
          <w:szCs w:val="30"/>
        </w:rPr>
      </w:pPr>
      <w:r>
        <w:rPr>
          <w:rFonts w:ascii="仿宋" w:hAnsi="仿宋" w:eastAsia="仿宋"/>
          <w:sz w:val="30"/>
          <w:szCs w:val="30"/>
        </w:rPr>
        <w:t>②全县实名制管理</w:t>
      </w:r>
      <w:r>
        <w:rPr>
          <w:rFonts w:ascii="仿宋" w:hAnsi="仿宋" w:eastAsia="仿宋" w:cs="Times New Roman"/>
          <w:sz w:val="30"/>
          <w:szCs w:val="30"/>
        </w:rPr>
        <w:t>，实现行政编制数、实有人员数、财政供养数相一致的目标。</w:t>
      </w:r>
    </w:p>
    <w:p>
      <w:pPr>
        <w:spacing w:line="600" w:lineRule="exact"/>
        <w:ind w:firstLine="600" w:firstLineChars="200"/>
        <w:rPr>
          <w:rFonts w:hint="default" w:ascii="仿宋" w:hAnsi="仿宋" w:eastAsia="仿宋" w:cs="Times New Roman"/>
          <w:sz w:val="30"/>
          <w:szCs w:val="30"/>
        </w:rPr>
      </w:pPr>
      <w:r>
        <w:rPr>
          <w:rFonts w:ascii="仿宋" w:hAnsi="仿宋" w:eastAsia="仿宋" w:cs="Times New Roman"/>
          <w:sz w:val="30"/>
          <w:szCs w:val="30"/>
        </w:rPr>
        <w:t>③事业单位登记、信用代码赋码，提高行政效能，打造人民满意的服务型政府。</w:t>
      </w:r>
    </w:p>
    <w:p>
      <w:pPr>
        <w:pStyle w:val="13"/>
        <w:spacing w:line="600" w:lineRule="exact"/>
        <w:ind w:firstLine="600"/>
        <w:rPr>
          <w:rFonts w:ascii="仿宋" w:hAnsi="仿宋" w:eastAsia="仿宋"/>
          <w:sz w:val="30"/>
          <w:szCs w:val="30"/>
        </w:rPr>
      </w:pPr>
      <w:r>
        <w:rPr>
          <w:rFonts w:ascii="黑体" w:hAnsi="黑体" w:eastAsia="黑体"/>
          <w:sz w:val="30"/>
          <w:szCs w:val="30"/>
        </w:rPr>
        <w:t>二、一般公共预算支出情况</w:t>
      </w:r>
    </w:p>
    <w:p>
      <w:pPr>
        <w:spacing w:line="600" w:lineRule="exact"/>
        <w:ind w:firstLine="600" w:firstLineChars="200"/>
        <w:rPr>
          <w:rFonts w:hint="default" w:ascii="仿宋" w:hAnsi="仿宋" w:eastAsia="仿宋" w:cs="Times New Roman"/>
          <w:sz w:val="30"/>
          <w:szCs w:val="30"/>
        </w:rPr>
      </w:pPr>
      <w:r>
        <w:rPr>
          <w:rFonts w:ascii="仿宋" w:hAnsi="仿宋" w:eastAsia="仿宋" w:cs="Times New Roman"/>
          <w:sz w:val="30"/>
          <w:szCs w:val="30"/>
        </w:rPr>
        <w:t>2024年本部门一般公共预算拨款支出179.95万元，其中，一般公共预算财政拨款收入179.95万元，占100%；社会保障和就业支出15.17万元，占8.43%；卫生健康支出8.25万元，占4.58%；住房保障支出11.38万元，占6.32%。具体安排情况如下：</w:t>
      </w:r>
    </w:p>
    <w:p>
      <w:pPr>
        <w:spacing w:line="600" w:lineRule="exact"/>
        <w:ind w:firstLine="600" w:firstLineChars="200"/>
        <w:rPr>
          <w:rFonts w:hint="default" w:ascii="仿宋" w:hAnsi="仿宋" w:eastAsia="仿宋" w:cs="Times New Roman"/>
          <w:sz w:val="30"/>
          <w:szCs w:val="30"/>
        </w:rPr>
      </w:pPr>
      <w:r>
        <w:rPr>
          <w:rFonts w:ascii="仿宋" w:hAnsi="仿宋" w:eastAsia="仿宋" w:cs="Times New Roman"/>
          <w:sz w:val="30"/>
          <w:szCs w:val="30"/>
        </w:rPr>
        <w:t>（一）基本支出情况</w:t>
      </w:r>
    </w:p>
    <w:p>
      <w:pPr>
        <w:spacing w:line="600" w:lineRule="exact"/>
        <w:ind w:firstLine="600" w:firstLineChars="200"/>
        <w:rPr>
          <w:rFonts w:hint="default" w:ascii="仿宋" w:hAnsi="仿宋" w:eastAsia="仿宋" w:cs="Times New Roman"/>
          <w:sz w:val="30"/>
          <w:szCs w:val="30"/>
        </w:rPr>
      </w:pPr>
      <w:r>
        <w:rPr>
          <w:rFonts w:ascii="仿宋" w:hAnsi="仿宋" w:eastAsia="仿宋" w:cs="Times New Roman"/>
          <w:sz w:val="30"/>
          <w:szCs w:val="30"/>
        </w:rPr>
        <w:t>2024年本部门基本支出153.36万元，主要是为保障部门正常运转、完成日常工作任务而发生的各项支出，包括用于基本工资、津贴补贴、住房公积金等人员经费以及办公费、印刷费、水电费、办公设备购置等公用经费。</w:t>
      </w:r>
    </w:p>
    <w:p>
      <w:pPr>
        <w:spacing w:line="600" w:lineRule="exact"/>
        <w:ind w:firstLine="600" w:firstLineChars="200"/>
        <w:rPr>
          <w:rFonts w:hint="default" w:ascii="仿宋" w:hAnsi="仿宋" w:eastAsia="仿宋" w:cs="Times New Roman"/>
          <w:sz w:val="30"/>
          <w:szCs w:val="30"/>
        </w:rPr>
      </w:pPr>
      <w:r>
        <w:rPr>
          <w:rFonts w:ascii="仿宋" w:hAnsi="仿宋" w:eastAsia="仿宋" w:cs="Times New Roman"/>
          <w:sz w:val="30"/>
          <w:szCs w:val="30"/>
        </w:rPr>
        <w:t>（二）项目支出情况</w:t>
      </w:r>
    </w:p>
    <w:p>
      <w:pPr>
        <w:spacing w:line="600" w:lineRule="exact"/>
        <w:ind w:firstLine="600" w:firstLineChars="200"/>
        <w:rPr>
          <w:rFonts w:hint="default" w:ascii="仿宋" w:hAnsi="仿宋" w:eastAsia="仿宋" w:cs="Times New Roman"/>
          <w:sz w:val="30"/>
          <w:szCs w:val="30"/>
        </w:rPr>
      </w:pPr>
      <w:r>
        <w:rPr>
          <w:rFonts w:ascii="仿宋" w:hAnsi="仿宋" w:eastAsia="仿宋" w:cs="Times New Roman"/>
          <w:sz w:val="30"/>
          <w:szCs w:val="30"/>
        </w:rPr>
        <w:t>2024年本部门项目支出预算26.59万元，主要是部门为完成特定行政工作任务或事业发展目标而发生的支出，包括有关全县政府机构改革、实名制管理、事业单位登记、机关群团赋码等，其中：人员编制实名制4万元、统一社会信用代码专项2.5万元、事业单位分类改革4万元、政府机构改革4万元、域名管理5万元、事业单位登记管理1.15万元，县批改革机构专项8万元。</w:t>
      </w:r>
    </w:p>
    <w:p>
      <w:pPr>
        <w:pStyle w:val="13"/>
        <w:numPr>
          <w:ilvl w:val="0"/>
          <w:numId w:val="2"/>
        </w:numPr>
        <w:spacing w:line="600" w:lineRule="exact"/>
        <w:ind w:firstLine="640" w:firstLineChars="0"/>
        <w:rPr>
          <w:rFonts w:ascii="黑体" w:hAnsi="黑体" w:eastAsia="黑体"/>
          <w:sz w:val="32"/>
          <w:szCs w:val="32"/>
        </w:rPr>
      </w:pPr>
      <w:r>
        <w:rPr>
          <w:rFonts w:ascii="黑体" w:hAnsi="黑体" w:eastAsia="黑体"/>
          <w:sz w:val="32"/>
          <w:szCs w:val="32"/>
        </w:rPr>
        <w:t>政府性基金预算支出情况</w:t>
      </w:r>
    </w:p>
    <w:p>
      <w:pPr>
        <w:pStyle w:val="13"/>
        <w:spacing w:line="600" w:lineRule="exact"/>
        <w:ind w:firstLine="0" w:firstLineChars="0"/>
        <w:rPr>
          <w:rFonts w:ascii="黑体" w:hAnsi="黑体" w:eastAsia="黑体"/>
          <w:sz w:val="32"/>
          <w:szCs w:val="32"/>
        </w:rPr>
      </w:pPr>
      <w:r>
        <w:rPr>
          <w:rFonts w:hint="eastAsia" w:ascii="黑体" w:hAnsi="黑体" w:eastAsia="黑体"/>
          <w:sz w:val="32"/>
          <w:szCs w:val="32"/>
        </w:rPr>
        <w:t xml:space="preserve">    </w:t>
      </w:r>
      <w:r>
        <w:rPr>
          <w:rFonts w:hint="eastAsia" w:ascii="仿宋" w:hAnsi="仿宋" w:eastAsia="仿宋" w:cs="Times New Roman"/>
          <w:kern w:val="2"/>
          <w:sz w:val="30"/>
          <w:szCs w:val="30"/>
        </w:rPr>
        <w:t>我单位无政府性基金预算支出。</w:t>
      </w:r>
    </w:p>
    <w:p>
      <w:pPr>
        <w:pStyle w:val="13"/>
        <w:numPr>
          <w:ilvl w:val="0"/>
          <w:numId w:val="2"/>
        </w:numPr>
        <w:spacing w:line="600" w:lineRule="exact"/>
        <w:ind w:firstLine="640" w:firstLineChars="0"/>
        <w:rPr>
          <w:rFonts w:ascii="黑体" w:hAnsi="黑体" w:eastAsia="黑体"/>
          <w:sz w:val="32"/>
          <w:szCs w:val="32"/>
        </w:rPr>
      </w:pPr>
      <w:r>
        <w:rPr>
          <w:rFonts w:ascii="黑体" w:hAnsi="黑体" w:eastAsia="黑体"/>
          <w:sz w:val="32"/>
          <w:szCs w:val="32"/>
        </w:rPr>
        <w:t>国有资本经营预算支出情况</w:t>
      </w:r>
    </w:p>
    <w:p>
      <w:pPr>
        <w:pStyle w:val="13"/>
        <w:spacing w:line="600" w:lineRule="exact"/>
        <w:ind w:left="420" w:leftChars="200" w:firstLine="0" w:firstLineChars="0"/>
        <w:rPr>
          <w:rFonts w:ascii="黑体" w:hAnsi="黑体" w:eastAsia="黑体"/>
          <w:sz w:val="32"/>
          <w:szCs w:val="32"/>
        </w:rPr>
      </w:pPr>
      <w:r>
        <w:rPr>
          <w:rFonts w:hint="eastAsia" w:ascii="仿宋" w:hAnsi="仿宋" w:eastAsia="仿宋" w:cs="Times New Roman"/>
          <w:kern w:val="2"/>
          <w:sz w:val="30"/>
          <w:szCs w:val="30"/>
        </w:rPr>
        <w:t xml:space="preserve"> 我单位无国有资本经营预算支出</w:t>
      </w:r>
      <w:r>
        <w:rPr>
          <w:rFonts w:hint="eastAsia" w:ascii="黑体" w:hAnsi="黑体" w:eastAsia="黑体"/>
          <w:sz w:val="32"/>
          <w:szCs w:val="32"/>
        </w:rPr>
        <w:t>。</w:t>
      </w:r>
    </w:p>
    <w:p>
      <w:pPr>
        <w:pStyle w:val="13"/>
        <w:numPr>
          <w:ilvl w:val="0"/>
          <w:numId w:val="2"/>
        </w:numPr>
        <w:spacing w:line="600" w:lineRule="exact"/>
        <w:ind w:firstLine="640" w:firstLineChars="0"/>
        <w:rPr>
          <w:rFonts w:ascii="黑体" w:hAnsi="黑体" w:eastAsia="黑体"/>
          <w:sz w:val="32"/>
          <w:szCs w:val="32"/>
        </w:rPr>
      </w:pPr>
      <w:r>
        <w:rPr>
          <w:rFonts w:ascii="黑体" w:hAnsi="黑体" w:eastAsia="黑体"/>
          <w:sz w:val="32"/>
          <w:szCs w:val="32"/>
        </w:rPr>
        <w:t>社会保险基金预算支出情况</w:t>
      </w:r>
    </w:p>
    <w:p>
      <w:pPr>
        <w:pStyle w:val="13"/>
        <w:spacing w:line="600" w:lineRule="exact"/>
        <w:ind w:left="420" w:leftChars="200" w:firstLine="0" w:firstLineChars="0"/>
        <w:rPr>
          <w:rFonts w:ascii="仿宋" w:hAnsi="仿宋" w:eastAsia="仿宋" w:cs="Times New Roman"/>
          <w:kern w:val="2"/>
          <w:sz w:val="30"/>
          <w:szCs w:val="30"/>
        </w:rPr>
      </w:pPr>
      <w:r>
        <w:rPr>
          <w:rFonts w:hint="eastAsia" w:ascii="黑体" w:hAnsi="黑体" w:eastAsia="黑体"/>
          <w:sz w:val="32"/>
          <w:szCs w:val="32"/>
        </w:rPr>
        <w:t xml:space="preserve"> </w:t>
      </w:r>
      <w:r>
        <w:rPr>
          <w:rFonts w:hint="eastAsia" w:ascii="仿宋" w:hAnsi="仿宋" w:eastAsia="仿宋" w:cs="Times New Roman"/>
          <w:kern w:val="2"/>
          <w:sz w:val="30"/>
          <w:szCs w:val="30"/>
        </w:rPr>
        <w:t>我单位无社会保险基金预算支出。</w:t>
      </w:r>
    </w:p>
    <w:p>
      <w:pPr>
        <w:spacing w:line="600" w:lineRule="exact"/>
        <w:ind w:firstLine="600" w:firstLineChars="200"/>
        <w:rPr>
          <w:rFonts w:hint="default" w:eastAsia="黑体"/>
          <w:sz w:val="30"/>
          <w:szCs w:val="30"/>
        </w:rPr>
      </w:pPr>
      <w:r>
        <w:rPr>
          <w:rFonts w:ascii="黑体" w:hAnsi="黑体" w:eastAsia="黑体"/>
          <w:sz w:val="30"/>
          <w:szCs w:val="30"/>
        </w:rPr>
        <w:t>六、部门整体支出绩效情况</w:t>
      </w:r>
    </w:p>
    <w:p>
      <w:pPr>
        <w:ind w:firstLine="640" w:firstLineChars="200"/>
        <w:rPr>
          <w:rFonts w:hint="default" w:ascii="仿宋_GB2312" w:hAnsi="仿宋_GB2312" w:eastAsia="仿宋_GB2312" w:cs="Times New Roman"/>
          <w:sz w:val="32"/>
        </w:rPr>
      </w:pPr>
      <w:r>
        <w:rPr>
          <w:rFonts w:ascii="仿宋_GB2312" w:hAnsi="仿宋_GB2312" w:eastAsia="仿宋_GB2312" w:cs="Times New Roman"/>
          <w:sz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文件要求，为进一步强化绩效管理和责任意识，切实提高财政资金使用效益，现就做好2024年度县级预算部门绩效自评工作，我司成立了一个内部绩效评价小组,由秦伟鹏（副主任）担任组长，夏亮、邱爱英为绩效评价成员。对我单位2024年预算配置、预算执行、预算管理、职责履行、履职效益及厉行节约保障措施等方面的情况加强预算收支管理，不断建立健全内部管理制度，梳理内部管理流程，部门整体支出管理情况得到提升。</w:t>
      </w:r>
    </w:p>
    <w:p>
      <w:pPr>
        <w:widowControl/>
        <w:ind w:firstLine="643"/>
        <w:rPr>
          <w:rFonts w:hint="default" w:ascii="楷体_GB2312" w:eastAsia="楷体_GB2312"/>
          <w:color w:val="222222"/>
          <w:kern w:val="0"/>
        </w:rPr>
      </w:pPr>
      <w:r>
        <w:rPr>
          <w:rFonts w:ascii="楷体_GB2312" w:eastAsia="楷体_GB2312"/>
          <w:color w:val="222222"/>
          <w:kern w:val="0"/>
          <w:sz w:val="32"/>
          <w:szCs w:val="32"/>
        </w:rPr>
        <w:t>（一）2024年预算规模情况</w:t>
      </w:r>
    </w:p>
    <w:p>
      <w:pPr>
        <w:ind w:firstLine="640" w:firstLineChars="200"/>
        <w:rPr>
          <w:rFonts w:hint="default" w:ascii="仿宋_GB2312" w:hAnsi="仿宋_GB2312" w:eastAsia="仿宋_GB2312" w:cs="Times New Roman"/>
          <w:sz w:val="32"/>
        </w:rPr>
      </w:pPr>
      <w:r>
        <w:rPr>
          <w:rFonts w:ascii="仿宋_GB2312" w:hAnsi="仿宋_GB2312" w:eastAsia="仿宋_GB2312" w:cs="Times New Roman"/>
          <w:sz w:val="32"/>
        </w:rPr>
        <w:t>1．预算资金情况</w:t>
      </w:r>
    </w:p>
    <w:p>
      <w:pPr>
        <w:ind w:firstLine="640" w:firstLineChars="200"/>
        <w:rPr>
          <w:rFonts w:hint="default" w:ascii="仿宋_GB2312" w:hAnsi="仿宋_GB2312" w:eastAsia="仿宋_GB2312" w:cs="Times New Roman"/>
          <w:sz w:val="32"/>
        </w:rPr>
      </w:pPr>
      <w:r>
        <w:rPr>
          <w:rFonts w:ascii="仿宋_GB2312" w:hAnsi="仿宋_GB2312" w:eastAsia="仿宋_GB2312" w:cs="Times New Roman"/>
          <w:sz w:val="32"/>
        </w:rPr>
        <w:t>我单位2024年预算收支情况如下：本年预算总收入171.87万元，其中：一般公共预算财政拨款收入171.59万元。</w:t>
      </w:r>
    </w:p>
    <w:p>
      <w:pPr>
        <w:ind w:firstLine="640" w:firstLineChars="200"/>
        <w:rPr>
          <w:rFonts w:hint="default" w:ascii="仿宋_GB2312" w:hAnsi="仿宋_GB2312" w:eastAsia="仿宋_GB2312" w:cs="Times New Roman"/>
          <w:sz w:val="32"/>
        </w:rPr>
      </w:pPr>
      <w:r>
        <w:rPr>
          <w:rFonts w:ascii="仿宋_GB2312" w:hAnsi="仿宋_GB2312" w:eastAsia="仿宋_GB2312" w:cs="Times New Roman"/>
          <w:sz w:val="32"/>
        </w:rPr>
        <w:t xml:space="preserve">财政拨款资金具体使用方向如下：本年预算总支出171.87万元；单位基本支出140.84万元 ；单位项目支出31.03万元，  </w:t>
      </w:r>
    </w:p>
    <w:p>
      <w:pPr>
        <w:widowControl/>
        <w:numPr>
          <w:ilvl w:val="0"/>
          <w:numId w:val="3"/>
        </w:numPr>
        <w:ind w:firstLine="160" w:firstLineChars="50"/>
        <w:rPr>
          <w:rFonts w:hint="default" w:ascii="宋体"/>
          <w:b/>
          <w:bCs/>
          <w:color w:val="222222"/>
          <w:kern w:val="0"/>
          <w:sz w:val="32"/>
          <w:szCs w:val="32"/>
        </w:rPr>
      </w:pPr>
      <w:r>
        <w:rPr>
          <w:rFonts w:ascii="宋体"/>
          <w:b/>
          <w:bCs/>
          <w:color w:val="222222"/>
          <w:kern w:val="0"/>
          <w:sz w:val="32"/>
          <w:szCs w:val="32"/>
        </w:rPr>
        <w:t>年度预算收支决算情况</w:t>
      </w:r>
    </w:p>
    <w:p>
      <w:pPr>
        <w:widowControl/>
        <w:ind w:firstLine="643"/>
        <w:rPr>
          <w:rFonts w:hint="default"/>
          <w:color w:val="222222"/>
          <w:kern w:val="0"/>
        </w:rPr>
      </w:pPr>
      <w:r>
        <w:rPr>
          <w:rFonts w:ascii="宋体"/>
          <w:b/>
          <w:bCs/>
          <w:color w:val="222222"/>
          <w:kern w:val="0"/>
          <w:sz w:val="32"/>
          <w:szCs w:val="32"/>
        </w:rPr>
        <w:t>202</w:t>
      </w:r>
      <w:r>
        <w:rPr>
          <w:rFonts w:ascii="宋体" w:eastAsia="宋体"/>
          <w:b/>
          <w:bCs/>
          <w:color w:val="222222"/>
          <w:kern w:val="0"/>
          <w:sz w:val="32"/>
          <w:szCs w:val="32"/>
        </w:rPr>
        <w:t>4</w:t>
      </w:r>
      <w:r>
        <w:rPr>
          <w:rFonts w:ascii="宋体"/>
          <w:b/>
          <w:bCs/>
          <w:color w:val="222222"/>
          <w:kern w:val="0"/>
          <w:sz w:val="32"/>
          <w:szCs w:val="32"/>
        </w:rPr>
        <w:t>年我单位本级预算、决算和结余对比情况表</w:t>
      </w:r>
    </w:p>
    <w:tbl>
      <w:tblPr>
        <w:tblStyle w:val="10"/>
        <w:tblW w:w="0" w:type="auto"/>
        <w:tblInd w:w="108" w:type="dxa"/>
        <w:tblLayout w:type="fixed"/>
        <w:tblCellMar>
          <w:top w:w="0" w:type="dxa"/>
          <w:left w:w="0" w:type="dxa"/>
          <w:bottom w:w="0" w:type="dxa"/>
          <w:right w:w="0" w:type="dxa"/>
        </w:tblCellMar>
      </w:tblPr>
      <w:tblGrid>
        <w:gridCol w:w="2062"/>
        <w:gridCol w:w="1661"/>
        <w:gridCol w:w="1471"/>
        <w:gridCol w:w="2015"/>
      </w:tblGrid>
      <w:tr>
        <w:tblPrEx>
          <w:tblCellMar>
            <w:top w:w="0" w:type="dxa"/>
            <w:left w:w="0" w:type="dxa"/>
            <w:bottom w:w="0" w:type="dxa"/>
            <w:right w:w="0" w:type="dxa"/>
          </w:tblCellMar>
        </w:tblPrEx>
        <w:trPr>
          <w:trHeight w:val="405" w:hRule="atLeast"/>
        </w:trPr>
        <w:tc>
          <w:tcPr>
            <w:tcW w:w="2062" w:type="dxa"/>
            <w:vMerge w:val="restart"/>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比较项目</w:t>
            </w:r>
          </w:p>
        </w:tc>
        <w:tc>
          <w:tcPr>
            <w:tcW w:w="1661" w:type="dxa"/>
            <w:vMerge w:val="restart"/>
            <w:tcBorders>
              <w:top w:val="single" w:color="000000" w:sz="8" w:space="0"/>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支出项目</w:t>
            </w:r>
          </w:p>
        </w:tc>
        <w:tc>
          <w:tcPr>
            <w:tcW w:w="3486" w:type="dxa"/>
            <w:gridSpan w:val="2"/>
            <w:tcBorders>
              <w:top w:val="single" w:color="000000" w:sz="8" w:space="0"/>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机关本级（万元）</w:t>
            </w:r>
          </w:p>
        </w:tc>
      </w:tr>
      <w:tr>
        <w:tblPrEx>
          <w:tblCellMar>
            <w:top w:w="0" w:type="dxa"/>
            <w:left w:w="0" w:type="dxa"/>
            <w:bottom w:w="0" w:type="dxa"/>
            <w:right w:w="0" w:type="dxa"/>
          </w:tblCellMar>
        </w:tblPrEx>
        <w:trPr>
          <w:trHeight w:val="405" w:hRule="atLeast"/>
        </w:trPr>
        <w:tc>
          <w:tcPr>
            <w:tcW w:w="2062" w:type="dxa"/>
            <w:vMerge w:val="continue"/>
            <w:tcBorders>
              <w:top w:val="single" w:color="000000" w:sz="8" w:space="0"/>
              <w:left w:val="single" w:color="000000" w:sz="8" w:space="0"/>
              <w:bottom w:val="single" w:color="000000" w:sz="8" w:space="0"/>
              <w:right w:val="single" w:color="000000" w:sz="8" w:space="0"/>
            </w:tcBorders>
            <w:vAlign w:val="center"/>
          </w:tcPr>
          <w:p>
            <w:pPr>
              <w:widowControl/>
              <w:rPr>
                <w:rFonts w:hint="default"/>
              </w:rPr>
            </w:pPr>
          </w:p>
        </w:tc>
        <w:tc>
          <w:tcPr>
            <w:tcW w:w="1661" w:type="dxa"/>
            <w:vMerge w:val="continue"/>
            <w:tcBorders>
              <w:top w:val="single" w:color="000000" w:sz="8" w:space="0"/>
              <w:left w:val="nil"/>
              <w:bottom w:val="single" w:color="000000" w:sz="8" w:space="0"/>
              <w:right w:val="single" w:color="000000" w:sz="8" w:space="0"/>
            </w:tcBorders>
            <w:vAlign w:val="center"/>
          </w:tcPr>
          <w:p>
            <w:pPr>
              <w:widowControl/>
              <w:rPr>
                <w:rFonts w:hint="default"/>
              </w:rPr>
            </w:pP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合 计</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其中：财政拨款</w:t>
            </w:r>
          </w:p>
        </w:tc>
      </w:tr>
      <w:tr>
        <w:tblPrEx>
          <w:tblCellMar>
            <w:top w:w="0" w:type="dxa"/>
            <w:left w:w="0" w:type="dxa"/>
            <w:bottom w:w="0" w:type="dxa"/>
            <w:right w:w="0" w:type="dxa"/>
          </w:tblCellMar>
        </w:tblPrEx>
        <w:trPr>
          <w:trHeight w:val="405" w:hRule="atLeast"/>
        </w:trPr>
        <w:tc>
          <w:tcPr>
            <w:tcW w:w="2062" w:type="dxa"/>
            <w:vMerge w:val="restart"/>
            <w:tcBorders>
              <w:top w:val="nil"/>
              <w:left w:val="single" w:color="000000" w:sz="8" w:space="0"/>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预算金额</w:t>
            </w: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基本支出</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153.36</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153.36</w:t>
            </w:r>
          </w:p>
        </w:tc>
      </w:tr>
      <w:tr>
        <w:tblPrEx>
          <w:tblCellMar>
            <w:top w:w="0" w:type="dxa"/>
            <w:left w:w="0" w:type="dxa"/>
            <w:bottom w:w="0" w:type="dxa"/>
            <w:right w:w="0" w:type="dxa"/>
          </w:tblCellMar>
        </w:tblPrEx>
        <w:trPr>
          <w:trHeight w:val="405"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项目支出</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26.59</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26.59</w:t>
            </w:r>
          </w:p>
        </w:tc>
      </w:tr>
      <w:tr>
        <w:tblPrEx>
          <w:tblCellMar>
            <w:top w:w="0" w:type="dxa"/>
            <w:left w:w="0" w:type="dxa"/>
            <w:bottom w:w="0" w:type="dxa"/>
            <w:right w:w="0" w:type="dxa"/>
          </w:tblCellMar>
        </w:tblPrEx>
        <w:trPr>
          <w:trHeight w:val="405"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ascii="宋体"/>
                <w:b/>
                <w:bCs/>
                <w:color w:val="222222"/>
                <w:kern w:val="0"/>
                <w:sz w:val="22"/>
                <w:szCs w:val="22"/>
              </w:rPr>
            </w:pPr>
            <w:r>
              <w:rPr>
                <w:rFonts w:ascii="宋体"/>
                <w:b/>
                <w:bCs/>
                <w:color w:val="222222"/>
                <w:kern w:val="0"/>
                <w:sz w:val="22"/>
                <w:szCs w:val="22"/>
              </w:rPr>
              <w:t>结余</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color w:val="222222"/>
                <w:kern w:val="0"/>
              </w:rPr>
            </w:pP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color w:val="222222"/>
                <w:kern w:val="0"/>
              </w:rPr>
            </w:pPr>
          </w:p>
        </w:tc>
      </w:tr>
      <w:tr>
        <w:tblPrEx>
          <w:tblCellMar>
            <w:top w:w="0" w:type="dxa"/>
            <w:left w:w="0" w:type="dxa"/>
            <w:bottom w:w="0" w:type="dxa"/>
            <w:right w:w="0" w:type="dxa"/>
          </w:tblCellMar>
        </w:tblPrEx>
        <w:trPr>
          <w:trHeight w:val="405"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合 计</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179.95</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179.95</w:t>
            </w:r>
          </w:p>
        </w:tc>
      </w:tr>
      <w:tr>
        <w:tblPrEx>
          <w:tblCellMar>
            <w:top w:w="0" w:type="dxa"/>
            <w:left w:w="0" w:type="dxa"/>
            <w:bottom w:w="0" w:type="dxa"/>
            <w:right w:w="0" w:type="dxa"/>
          </w:tblCellMar>
        </w:tblPrEx>
        <w:trPr>
          <w:trHeight w:val="405" w:hRule="atLeast"/>
        </w:trPr>
        <w:tc>
          <w:tcPr>
            <w:tcW w:w="2062" w:type="dxa"/>
            <w:vMerge w:val="restart"/>
            <w:tcBorders>
              <w:top w:val="nil"/>
              <w:left w:val="single" w:color="000000" w:sz="8" w:space="0"/>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决算金额</w:t>
            </w: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基本支出</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315" w:firstLineChars="150"/>
              <w:jc w:val="center"/>
              <w:rPr>
                <w:rFonts w:hint="default" w:eastAsia="宋体"/>
                <w:color w:val="222222"/>
                <w:kern w:val="0"/>
              </w:rPr>
            </w:pPr>
            <w:r>
              <w:rPr>
                <w:rFonts w:eastAsia="宋体"/>
                <w:color w:val="222222"/>
                <w:kern w:val="0"/>
              </w:rPr>
              <w:t>140.84</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315" w:firstLineChars="150"/>
              <w:jc w:val="center"/>
              <w:rPr>
                <w:rFonts w:hint="default" w:eastAsia="宋体"/>
                <w:color w:val="222222"/>
                <w:kern w:val="0"/>
              </w:rPr>
            </w:pPr>
            <w:r>
              <w:rPr>
                <w:rFonts w:eastAsia="宋体"/>
                <w:color w:val="222222"/>
                <w:kern w:val="0"/>
              </w:rPr>
              <w:t>140.84</w:t>
            </w:r>
          </w:p>
        </w:tc>
      </w:tr>
      <w:tr>
        <w:tblPrEx>
          <w:tblCellMar>
            <w:top w:w="0" w:type="dxa"/>
            <w:left w:w="0" w:type="dxa"/>
            <w:bottom w:w="0" w:type="dxa"/>
            <w:right w:w="0" w:type="dxa"/>
          </w:tblCellMar>
        </w:tblPrEx>
        <w:trPr>
          <w:trHeight w:val="534"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项目支出</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jc w:val="center"/>
              <w:rPr>
                <w:rFonts w:hint="default" w:eastAsia="宋体"/>
                <w:color w:val="222222"/>
                <w:kern w:val="0"/>
              </w:rPr>
            </w:pPr>
            <w:r>
              <w:rPr>
                <w:rFonts w:eastAsia="宋体"/>
                <w:color w:val="222222"/>
                <w:kern w:val="0"/>
              </w:rPr>
              <w:t>31.02</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jc w:val="center"/>
              <w:rPr>
                <w:rFonts w:hint="default" w:eastAsia="宋体"/>
                <w:color w:val="222222"/>
                <w:kern w:val="0"/>
              </w:rPr>
            </w:pPr>
            <w:r>
              <w:rPr>
                <w:rFonts w:eastAsia="宋体"/>
                <w:color w:val="222222"/>
                <w:kern w:val="0"/>
              </w:rPr>
              <w:t>31.02</w:t>
            </w:r>
          </w:p>
        </w:tc>
      </w:tr>
      <w:tr>
        <w:tblPrEx>
          <w:tblCellMar>
            <w:top w:w="0" w:type="dxa"/>
            <w:left w:w="0" w:type="dxa"/>
            <w:bottom w:w="0" w:type="dxa"/>
            <w:right w:w="0" w:type="dxa"/>
          </w:tblCellMar>
        </w:tblPrEx>
        <w:trPr>
          <w:trHeight w:val="534"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ascii="宋体"/>
                <w:b/>
                <w:bCs/>
                <w:color w:val="222222"/>
                <w:kern w:val="0"/>
                <w:sz w:val="22"/>
                <w:szCs w:val="22"/>
              </w:rPr>
            </w:pPr>
            <w:r>
              <w:rPr>
                <w:rFonts w:ascii="宋体"/>
                <w:b/>
                <w:bCs/>
                <w:color w:val="222222"/>
                <w:kern w:val="0"/>
                <w:sz w:val="22"/>
                <w:szCs w:val="22"/>
              </w:rPr>
              <w:t>结余</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jc w:val="center"/>
              <w:rPr>
                <w:rFonts w:hint="default"/>
                <w:color w:val="222222"/>
                <w:kern w:val="0"/>
              </w:rPr>
            </w:pPr>
            <w:r>
              <w:rPr>
                <w:color w:val="222222"/>
                <w:kern w:val="0"/>
              </w:rPr>
              <w:t xml:space="preserve"> </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jc w:val="center"/>
              <w:rPr>
                <w:rFonts w:hint="default"/>
                <w:color w:val="222222"/>
                <w:kern w:val="0"/>
              </w:rPr>
            </w:pPr>
            <w:r>
              <w:rPr>
                <w:color w:val="222222"/>
                <w:kern w:val="0"/>
              </w:rPr>
              <w:t xml:space="preserve">    </w:t>
            </w:r>
          </w:p>
        </w:tc>
      </w:tr>
      <w:tr>
        <w:tblPrEx>
          <w:tblCellMar>
            <w:top w:w="0" w:type="dxa"/>
            <w:left w:w="0" w:type="dxa"/>
            <w:bottom w:w="0" w:type="dxa"/>
            <w:right w:w="0" w:type="dxa"/>
          </w:tblCellMar>
        </w:tblPrEx>
        <w:trPr>
          <w:trHeight w:val="405"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合 计</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20" w:firstLineChars="200"/>
              <w:rPr>
                <w:rFonts w:hint="default" w:eastAsia="宋体"/>
              </w:rPr>
            </w:pPr>
            <w:r>
              <w:rPr>
                <w:rFonts w:eastAsia="宋体"/>
              </w:rPr>
              <w:t>171.86</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jc w:val="center"/>
              <w:rPr>
                <w:rFonts w:hint="default" w:eastAsia="宋体"/>
                <w:color w:val="222222"/>
                <w:kern w:val="0"/>
              </w:rPr>
            </w:pPr>
            <w:r>
              <w:rPr>
                <w:rFonts w:eastAsia="宋体"/>
                <w:color w:val="222222"/>
                <w:kern w:val="0"/>
              </w:rPr>
              <w:t>171.86</w:t>
            </w:r>
          </w:p>
        </w:tc>
      </w:tr>
      <w:tr>
        <w:tblPrEx>
          <w:tblCellMar>
            <w:top w:w="0" w:type="dxa"/>
            <w:left w:w="0" w:type="dxa"/>
            <w:bottom w:w="0" w:type="dxa"/>
            <w:right w:w="0" w:type="dxa"/>
          </w:tblCellMar>
        </w:tblPrEx>
        <w:trPr>
          <w:trHeight w:val="405" w:hRule="atLeast"/>
        </w:trPr>
        <w:tc>
          <w:tcPr>
            <w:tcW w:w="2062" w:type="dxa"/>
            <w:vMerge w:val="restart"/>
            <w:tcBorders>
              <w:top w:val="nil"/>
              <w:left w:val="single" w:color="000000" w:sz="8" w:space="0"/>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执行差异</w:t>
            </w:r>
          </w:p>
          <w:p>
            <w:pPr>
              <w:widowControl/>
              <w:ind w:firstLine="442"/>
              <w:jc w:val="center"/>
              <w:rPr>
                <w:rFonts w:hint="default"/>
                <w:color w:val="222222"/>
                <w:kern w:val="0"/>
              </w:rPr>
            </w:pPr>
            <w:r>
              <w:rPr>
                <w:rFonts w:ascii="宋体"/>
                <w:b/>
                <w:bCs/>
                <w:color w:val="222222"/>
                <w:kern w:val="0"/>
                <w:sz w:val="22"/>
                <w:szCs w:val="22"/>
              </w:rPr>
              <w:t>（预算-决算）</w:t>
            </w: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基本支出</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12.52</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color w:val="222222"/>
                <w:kern w:val="0"/>
              </w:rPr>
            </w:pPr>
          </w:p>
        </w:tc>
      </w:tr>
      <w:tr>
        <w:tblPrEx>
          <w:tblCellMar>
            <w:top w:w="0" w:type="dxa"/>
            <w:left w:w="0" w:type="dxa"/>
            <w:bottom w:w="0" w:type="dxa"/>
            <w:right w:w="0" w:type="dxa"/>
          </w:tblCellMar>
        </w:tblPrEx>
        <w:trPr>
          <w:trHeight w:val="405"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项目支出</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-4.43</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color w:val="222222"/>
                <w:kern w:val="0"/>
              </w:rPr>
            </w:pPr>
          </w:p>
        </w:tc>
      </w:tr>
      <w:tr>
        <w:tblPrEx>
          <w:tblCellMar>
            <w:top w:w="0" w:type="dxa"/>
            <w:left w:w="0" w:type="dxa"/>
            <w:bottom w:w="0" w:type="dxa"/>
            <w:right w:w="0" w:type="dxa"/>
          </w:tblCellMar>
        </w:tblPrEx>
        <w:trPr>
          <w:trHeight w:val="405"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ascii="宋体"/>
                <w:b/>
                <w:bCs/>
                <w:color w:val="222222"/>
                <w:kern w:val="0"/>
                <w:sz w:val="22"/>
                <w:szCs w:val="22"/>
              </w:rPr>
            </w:pPr>
            <w:r>
              <w:rPr>
                <w:rFonts w:ascii="宋体"/>
                <w:b/>
                <w:bCs/>
                <w:color w:val="222222"/>
                <w:kern w:val="0"/>
                <w:sz w:val="22"/>
                <w:szCs w:val="22"/>
              </w:rPr>
              <w:t>结余</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color w:val="222222"/>
                <w:kern w:val="0"/>
              </w:rPr>
            </w:pP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color w:val="222222"/>
                <w:kern w:val="0"/>
              </w:rPr>
            </w:pPr>
          </w:p>
        </w:tc>
      </w:tr>
      <w:tr>
        <w:tblPrEx>
          <w:tblCellMar>
            <w:top w:w="0" w:type="dxa"/>
            <w:left w:w="0" w:type="dxa"/>
            <w:bottom w:w="0" w:type="dxa"/>
            <w:right w:w="0" w:type="dxa"/>
          </w:tblCellMar>
        </w:tblPrEx>
        <w:trPr>
          <w:trHeight w:val="405" w:hRule="atLeast"/>
        </w:trPr>
        <w:tc>
          <w:tcPr>
            <w:tcW w:w="2062" w:type="dxa"/>
            <w:vMerge w:val="continue"/>
            <w:tcBorders>
              <w:top w:val="nil"/>
              <w:left w:val="single" w:color="000000" w:sz="8" w:space="0"/>
              <w:bottom w:val="single" w:color="000000" w:sz="8" w:space="0"/>
              <w:right w:val="single" w:color="000000" w:sz="8" w:space="0"/>
            </w:tcBorders>
            <w:vAlign w:val="center"/>
          </w:tcPr>
          <w:p>
            <w:pPr>
              <w:widowControl/>
              <w:rPr>
                <w:rFonts w:hint="default"/>
              </w:rPr>
            </w:pPr>
          </w:p>
        </w:tc>
        <w:tc>
          <w:tcPr>
            <w:tcW w:w="1661" w:type="dxa"/>
            <w:tcBorders>
              <w:top w:val="nil"/>
              <w:left w:val="nil"/>
              <w:bottom w:val="single" w:color="000000" w:sz="8" w:space="0"/>
              <w:right w:val="single" w:color="000000" w:sz="8" w:space="0"/>
            </w:tcBorders>
            <w:tcMar>
              <w:left w:w="108" w:type="dxa"/>
              <w:right w:w="108" w:type="dxa"/>
            </w:tcMar>
            <w:vAlign w:val="center"/>
          </w:tcPr>
          <w:p>
            <w:pPr>
              <w:widowControl/>
              <w:ind w:firstLine="442"/>
              <w:jc w:val="center"/>
              <w:rPr>
                <w:rFonts w:hint="default"/>
                <w:color w:val="222222"/>
                <w:kern w:val="0"/>
              </w:rPr>
            </w:pPr>
            <w:r>
              <w:rPr>
                <w:rFonts w:ascii="宋体"/>
                <w:b/>
                <w:bCs/>
                <w:color w:val="222222"/>
                <w:kern w:val="0"/>
                <w:sz w:val="22"/>
                <w:szCs w:val="22"/>
              </w:rPr>
              <w:t>合 计</w:t>
            </w:r>
          </w:p>
        </w:tc>
        <w:tc>
          <w:tcPr>
            <w:tcW w:w="1471"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eastAsia="宋体"/>
                <w:color w:val="222222"/>
                <w:kern w:val="0"/>
              </w:rPr>
            </w:pPr>
            <w:r>
              <w:rPr>
                <w:rFonts w:eastAsia="宋体"/>
                <w:color w:val="222222"/>
                <w:kern w:val="0"/>
              </w:rPr>
              <w:t>8.09</w:t>
            </w:r>
          </w:p>
        </w:tc>
        <w:tc>
          <w:tcPr>
            <w:tcW w:w="2015" w:type="dxa"/>
            <w:tcBorders>
              <w:top w:val="nil"/>
              <w:left w:val="nil"/>
              <w:bottom w:val="single" w:color="000000" w:sz="8" w:space="0"/>
              <w:right w:val="single" w:color="000000" w:sz="8" w:space="0"/>
            </w:tcBorders>
            <w:tcMar>
              <w:left w:w="108" w:type="dxa"/>
              <w:right w:w="108" w:type="dxa"/>
            </w:tcMar>
            <w:vAlign w:val="center"/>
          </w:tcPr>
          <w:p>
            <w:pPr>
              <w:widowControl/>
              <w:ind w:firstLine="440"/>
              <w:jc w:val="center"/>
              <w:rPr>
                <w:rFonts w:hint="default"/>
                <w:color w:val="222222"/>
                <w:kern w:val="0"/>
              </w:rPr>
            </w:pPr>
          </w:p>
        </w:tc>
      </w:tr>
    </w:tbl>
    <w:p>
      <w:pPr>
        <w:pStyle w:val="7"/>
        <w:shd w:val="clear" w:color="auto" w:fill="FFFFFF"/>
        <w:spacing w:beforeAutospacing="0" w:afterAutospacing="0" w:line="520" w:lineRule="exact"/>
        <w:ind w:firstLine="600" w:firstLineChars="200"/>
      </w:pPr>
      <w:r>
        <w:rPr>
          <w:rFonts w:hint="eastAsia" w:ascii="仿宋" w:hAnsi="仿宋" w:eastAsia="仿宋" w:cs="Times New Roman"/>
          <w:kern w:val="2"/>
          <w:sz w:val="30"/>
          <w:szCs w:val="30"/>
        </w:rPr>
        <w:t>2024年一般公共预算财政拨款支出年初预算为179.95万元，支出决算为171.87万元，主要原因是本月减少一个人工资，补发了2022年度奖金等。</w:t>
      </w:r>
    </w:p>
    <w:p>
      <w:pPr>
        <w:pStyle w:val="13"/>
        <w:spacing w:line="600" w:lineRule="exact"/>
        <w:ind w:left="630" w:firstLine="0" w:firstLineChars="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存在的问题及原因分析</w:t>
      </w:r>
    </w:p>
    <w:p>
      <w:pPr>
        <w:spacing w:line="600" w:lineRule="exact"/>
        <w:ind w:firstLine="600" w:firstLineChars="200"/>
        <w:rPr>
          <w:rFonts w:hint="default" w:ascii="仿宋" w:hAnsi="仿宋" w:eastAsia="仿宋"/>
          <w:sz w:val="30"/>
          <w:szCs w:val="30"/>
        </w:rPr>
      </w:pPr>
      <w:r>
        <w:rPr>
          <w:rFonts w:ascii="仿宋" w:hAnsi="仿宋" w:eastAsia="仿宋"/>
          <w:sz w:val="30"/>
          <w:szCs w:val="30"/>
        </w:rPr>
        <w:t>公有经费有调剂项目经费的现象。由于人员经费、社会保障缴费、工会经费费用较多，运转经费不能满足开支。需要一定的工作经费，而公用经费不够开支。</w:t>
      </w:r>
    </w:p>
    <w:p>
      <w:pPr>
        <w:numPr>
          <w:ilvl w:val="0"/>
          <w:numId w:val="4"/>
        </w:numPr>
        <w:spacing w:line="520" w:lineRule="exact"/>
        <w:ind w:firstLine="640"/>
        <w:rPr>
          <w:rFonts w:hint="default" w:ascii="黑体" w:hAnsi="黑体" w:eastAsia="黑体"/>
          <w:sz w:val="32"/>
          <w:szCs w:val="32"/>
        </w:rPr>
      </w:pPr>
      <w:r>
        <w:rPr>
          <w:rFonts w:ascii="黑体" w:hAnsi="黑体" w:eastAsia="黑体"/>
          <w:sz w:val="32"/>
          <w:szCs w:val="32"/>
        </w:rPr>
        <w:t>下一步改进措施</w:t>
      </w:r>
    </w:p>
    <w:p>
      <w:pPr>
        <w:spacing w:line="520" w:lineRule="exact"/>
        <w:ind w:firstLine="600" w:firstLineChars="200"/>
        <w:rPr>
          <w:rFonts w:hint="default" w:ascii="仿宋" w:hAnsi="仿宋" w:eastAsia="仿宋"/>
          <w:sz w:val="30"/>
          <w:szCs w:val="30"/>
        </w:rPr>
      </w:pPr>
      <w:r>
        <w:rPr>
          <w:rFonts w:ascii="仿宋" w:hAnsi="仿宋" w:eastAsia="仿宋"/>
          <w:sz w:val="30"/>
          <w:szCs w:val="30"/>
        </w:rPr>
        <w:t>1、科学合理编制预算，严格执行预算。要按照《预算法》及其实施条例的相关规定，参考今年的预算执行情况和年度的收支预测科学编制预算，避免年中大幅追加以及超预算。同时严格预算执行，提高资金使用效率。</w:t>
      </w:r>
    </w:p>
    <w:p>
      <w:pPr>
        <w:spacing w:line="520" w:lineRule="exact"/>
        <w:ind w:firstLine="600" w:firstLineChars="200"/>
        <w:rPr>
          <w:rFonts w:hint="default" w:ascii="仿宋" w:hAnsi="仿宋" w:eastAsia="仿宋"/>
          <w:sz w:val="30"/>
          <w:szCs w:val="30"/>
        </w:rPr>
      </w:pPr>
      <w:r>
        <w:rPr>
          <w:rFonts w:ascii="仿宋" w:hAnsi="仿宋" w:eastAsia="仿宋"/>
          <w:sz w:val="30"/>
          <w:szCs w:val="30"/>
        </w:rPr>
        <w:t>2、规范账务处理，提高财务信息质量。严格按照《会计法》、《行政单位会计制度》、《行政单位财务规则》等规定，</w:t>
      </w:r>
      <w:bookmarkStart w:id="0" w:name="_Hlk29396950"/>
      <w:bookmarkEnd w:id="0"/>
      <w:r>
        <w:rPr>
          <w:rFonts w:ascii="仿宋" w:hAnsi="仿宋" w:eastAsia="仿宋"/>
          <w:sz w:val="30"/>
          <w:szCs w:val="30"/>
        </w:rPr>
        <w:t>争取配备专业人员从事财务工作，结合实际情况，科学设置支出科目，规范财务核算，完整披露相关信息。</w:t>
      </w:r>
    </w:p>
    <w:p>
      <w:pPr>
        <w:spacing w:line="520" w:lineRule="exact"/>
        <w:ind w:firstLine="600" w:firstLineChars="200"/>
        <w:rPr>
          <w:rFonts w:hint="default" w:ascii="仿宋" w:hAnsi="仿宋" w:eastAsia="仿宋"/>
          <w:sz w:val="30"/>
          <w:szCs w:val="30"/>
        </w:rPr>
      </w:pPr>
      <w:r>
        <w:rPr>
          <w:rFonts w:ascii="仿宋" w:hAnsi="仿宋" w:eastAsia="仿宋"/>
          <w:sz w:val="30"/>
          <w:szCs w:val="30"/>
        </w:rPr>
        <w:t>3、加强单位内控制度建设，完善相关内部管理制度。按县财政局要求开展内部控制建设工作，通过查找内部管理中的薄弱环节提出问题；通过清理制度完善各项《内部控制制度》。</w:t>
      </w:r>
    </w:p>
    <w:p>
      <w:pPr>
        <w:spacing w:line="520" w:lineRule="exact"/>
        <w:rPr>
          <w:rFonts w:hint="default" w:ascii="黑体" w:hAnsi="黑体" w:eastAsia="黑体"/>
          <w:sz w:val="32"/>
          <w:szCs w:val="32"/>
        </w:rPr>
      </w:pPr>
    </w:p>
    <w:p>
      <w:pPr>
        <w:numPr>
          <w:ilvl w:val="0"/>
          <w:numId w:val="4"/>
        </w:numPr>
        <w:spacing w:line="520" w:lineRule="exact"/>
        <w:ind w:firstLine="640"/>
        <w:rPr>
          <w:rFonts w:hint="default" w:ascii="黑体" w:hAnsi="黑体" w:eastAsia="黑体"/>
          <w:sz w:val="32"/>
          <w:szCs w:val="32"/>
        </w:rPr>
      </w:pPr>
      <w:r>
        <w:rPr>
          <w:rFonts w:ascii="黑体" w:hAnsi="黑体" w:eastAsia="黑体"/>
          <w:sz w:val="32"/>
          <w:szCs w:val="32"/>
        </w:rPr>
        <w:t>绩效自评结果拟应用和公开情况</w:t>
      </w:r>
    </w:p>
    <w:p>
      <w:pPr>
        <w:spacing w:afterLines="50" w:line="600" w:lineRule="exact"/>
        <w:ind w:firstLine="600" w:firstLineChars="200"/>
        <w:rPr>
          <w:rFonts w:hint="default" w:eastAsia="黑体"/>
          <w:sz w:val="32"/>
        </w:rPr>
      </w:pPr>
      <w:r>
        <w:rPr>
          <w:rFonts w:ascii="仿宋" w:hAnsi="仿宋" w:eastAsia="仿宋" w:cs="Times New Roman"/>
          <w:sz w:val="30"/>
          <w:szCs w:val="30"/>
        </w:rPr>
        <w:t>2024年县委编办绩效自我评价，达到了预期目标，取得了良好成效，并在政府网上予以公开。</w:t>
      </w:r>
    </w:p>
    <w:p>
      <w:pPr>
        <w:spacing w:afterLines="50" w:line="600" w:lineRule="exact"/>
        <w:rPr>
          <w:rFonts w:hint="default" w:eastAsia="黑体"/>
          <w:sz w:val="32"/>
        </w:rPr>
      </w:pPr>
    </w:p>
    <w:p>
      <w:pPr>
        <w:spacing w:afterLines="50" w:line="600" w:lineRule="exact"/>
        <w:rPr>
          <w:rFonts w:hint="default" w:eastAsia="黑体"/>
          <w:sz w:val="32"/>
        </w:rPr>
      </w:pPr>
    </w:p>
    <w:p>
      <w:pPr>
        <w:pStyle w:val="2"/>
        <w:ind w:left="420" w:firstLine="640"/>
        <w:rPr>
          <w:rFonts w:hint="default" w:eastAsia="黑体"/>
          <w:sz w:val="32"/>
        </w:rPr>
      </w:pPr>
    </w:p>
    <w:p>
      <w:pPr>
        <w:pStyle w:val="2"/>
        <w:ind w:left="420" w:firstLine="640"/>
        <w:rPr>
          <w:rFonts w:hint="default" w:eastAsia="黑体"/>
          <w:sz w:val="32"/>
        </w:rPr>
      </w:pPr>
    </w:p>
    <w:p>
      <w:pPr>
        <w:spacing w:line="440" w:lineRule="exact"/>
        <w:rPr>
          <w:rFonts w:hint="default" w:ascii="黑体" w:hAnsi="黑体" w:eastAsia="黑体" w:cs="黑体"/>
          <w:sz w:val="32"/>
          <w:szCs w:val="32"/>
        </w:rPr>
      </w:pPr>
    </w:p>
    <w:p>
      <w:pPr>
        <w:pStyle w:val="2"/>
        <w:ind w:left="420"/>
        <w:rPr>
          <w:rFonts w:hint="default"/>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10"/>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71.43%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141.74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153.36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140.84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12.54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15.82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15.81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8.05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9.02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27.43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31.02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1.机构改革业务经费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pStyle w:val="2"/>
              <w:ind w:left="420"/>
              <w:rPr>
                <w:rFonts w:hint="default"/>
              </w:rPr>
            </w:pPr>
            <w:r>
              <w:t>27.43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18.02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pStyle w:val="2"/>
              <w:ind w:left="420"/>
              <w:rPr>
                <w:rFonts w:hint="default" w:eastAsia="宋体"/>
              </w:rPr>
            </w:pPr>
            <w:r>
              <w:rPr>
                <w:rFonts w:eastAsia="宋体"/>
              </w:rPr>
              <w:t>18.02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县批请求解决机构编制规范化……</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县批解决机构改革专项工作经费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10.36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10.36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（2022年完工项目）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严格执行预算开支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100" w:lineRule="exact"/>
        <w:jc w:val="left"/>
        <w:rPr>
          <w:rFonts w:hint="default" w:asciiTheme="minorEastAsia" w:hAnsiTheme="minorEastAsia" w:eastAsiaTheme="minorEastAsia" w:cstheme="minorEastAsia"/>
          <w:sz w:val="24"/>
        </w:rPr>
      </w:pPr>
    </w:p>
    <w:p>
      <w:pPr>
        <w:spacing w:line="440" w:lineRule="exact"/>
        <w:jc w:val="left"/>
        <w:rPr>
          <w:rFonts w:hint="default" w:eastAsia="仿宋_GB2312"/>
          <w:color w:val="000000"/>
          <w:kern w:val="0"/>
        </w:rPr>
      </w:pPr>
      <w:r>
        <w:rPr>
          <w:rFonts w:eastAsia="仿宋_GB2312"/>
          <w:color w:val="000000"/>
          <w:kern w:val="0"/>
        </w:rPr>
        <w:t xml:space="preserve">填表人：夏亮   </w:t>
      </w:r>
    </w:p>
    <w:p>
      <w:pPr>
        <w:spacing w:line="440" w:lineRule="exact"/>
        <w:jc w:val="left"/>
        <w:rPr>
          <w:rFonts w:hint="default" w:eastAsia="仿宋_GB2312"/>
          <w:color w:val="000000"/>
          <w:kern w:val="0"/>
        </w:rPr>
      </w:pPr>
    </w:p>
    <w:p>
      <w:pPr>
        <w:spacing w:line="440" w:lineRule="exact"/>
        <w:jc w:val="left"/>
        <w:rPr>
          <w:rFonts w:hint="default" w:eastAsia="黑体"/>
          <w:sz w:val="3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10"/>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1115"/>
        <w:gridCol w:w="961"/>
        <w:gridCol w:w="670"/>
        <w:gridCol w:w="482"/>
        <w:gridCol w:w="1128"/>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中共双牌县委编办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0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96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1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1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0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961"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171.95</w:t>
            </w:r>
          </w:p>
        </w:tc>
        <w:tc>
          <w:tcPr>
            <w:tcW w:w="11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178.74</w:t>
            </w:r>
          </w:p>
        </w:tc>
        <w:tc>
          <w:tcPr>
            <w:tcW w:w="11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171.86</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96.15%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7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17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7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一般公共预算：171.58</w:t>
            </w:r>
          </w:p>
        </w:tc>
        <w:tc>
          <w:tcPr>
            <w:tcW w:w="417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其中：基本支出：140.84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7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w:t>
            </w:r>
          </w:p>
        </w:tc>
        <w:tc>
          <w:tcPr>
            <w:tcW w:w="417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项目支出：31.02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7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17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7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17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7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17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76"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177.24　　</w:t>
            </w:r>
          </w:p>
        </w:tc>
        <w:tc>
          <w:tcPr>
            <w:tcW w:w="4173"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eastAsia" w:asciiTheme="minorEastAsia" w:hAnsiTheme="minorEastAsia" w:eastAsiaTheme="minorEastAsia" w:cstheme="minorEastAsia"/>
                <w:color w:val="000000"/>
                <w:sz w:val="24"/>
                <w:lang w:eastAsia="zh-CN"/>
              </w:rPr>
            </w:pPr>
            <w:r>
              <w:rPr>
                <w:rFonts w:asciiTheme="minorEastAsia" w:hAnsiTheme="minorEastAsia" w:eastAsiaTheme="minorEastAsia" w:cstheme="minorEastAsia"/>
                <w:color w:val="000000"/>
                <w:sz w:val="24"/>
              </w:rPr>
              <w:t>　171.8</w:t>
            </w:r>
            <w:r>
              <w:rPr>
                <w:rFonts w:hint="eastAsia" w:asciiTheme="minorEastAsia" w:hAnsiTheme="minorEastAsia" w:eastAsiaTheme="minorEastAsia" w:cstheme="minorEastAsia"/>
                <w:color w:val="000000"/>
                <w:sz w:val="24"/>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11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6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48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1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1115" w:type="dxa"/>
            <w:vMerge w:val="restart"/>
            <w:tcBorders>
              <w:top w:val="single" w:color="auto" w:sz="6" w:space="0"/>
              <w:left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6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单位在职人员</w:t>
            </w:r>
            <w:r>
              <w:rPr>
                <w:rFonts w:hint="eastAsia" w:asciiTheme="minorEastAsia" w:hAnsiTheme="minorEastAsia" w:eastAsiaTheme="minorEastAsia" w:cstheme="minorEastAsia"/>
                <w:color w:val="000000"/>
                <w:sz w:val="24"/>
                <w:lang w:val="en-US" w:eastAsia="zh-CN"/>
              </w:rPr>
              <w:t>10人</w:t>
            </w:r>
          </w:p>
        </w:tc>
        <w:tc>
          <w:tcPr>
            <w:tcW w:w="482" w:type="dxa"/>
            <w:tcBorders>
              <w:top w:val="single" w:color="auto" w:sz="6" w:space="0"/>
              <w:left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1128" w:type="dxa"/>
            <w:vMerge w:val="restart"/>
            <w:tcBorders>
              <w:top w:val="single" w:color="auto" w:sz="6" w:space="0"/>
              <w:left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5490</w:t>
            </w:r>
          </w:p>
        </w:tc>
        <w:tc>
          <w:tcPr>
            <w:tcW w:w="718" w:type="dxa"/>
            <w:vMerge w:val="restart"/>
            <w:tcBorders>
              <w:top w:val="single" w:color="auto" w:sz="6" w:space="0"/>
              <w:left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30</w:t>
            </w:r>
          </w:p>
        </w:tc>
        <w:tc>
          <w:tcPr>
            <w:tcW w:w="884" w:type="dxa"/>
            <w:vMerge w:val="restart"/>
            <w:tcBorders>
              <w:top w:val="single" w:color="auto" w:sz="6" w:space="0"/>
              <w:left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30</w:t>
            </w:r>
          </w:p>
        </w:tc>
        <w:tc>
          <w:tcPr>
            <w:tcW w:w="1443" w:type="dxa"/>
            <w:vMerge w:val="restart"/>
            <w:tcBorders>
              <w:top w:val="single" w:color="auto" w:sz="6" w:space="0"/>
              <w:left w:val="single" w:color="auto" w:sz="6" w:space="0"/>
              <w:right w:val="single" w:color="auto" w:sz="12" w:space="0"/>
              <w:tl2br w:val="nil"/>
              <w:tr2bl w:val="nil"/>
            </w:tcBorders>
            <w:vAlign w:val="center"/>
          </w:tcPr>
          <w:p>
            <w:pPr>
              <w:widowControl/>
              <w:jc w:val="left"/>
              <w:rPr>
                <w:rFonts w:hint="default" w:asciiTheme="minorEastAsia" w:hAnsiTheme="minorEastAsia" w:eastAsiaTheme="minorEastAsia" w:cstheme="minorEastAsia"/>
                <w:color w:val="000000"/>
                <w:sz w:val="24"/>
              </w:rPr>
            </w:pPr>
            <w:r>
              <w:rPr>
                <w:rFonts w:eastAsia="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62" w:type="dxa"/>
            <w:vMerge w:val="continue"/>
            <w:tcBorders>
              <w:left w:val="single" w:color="auto" w:sz="12" w:space="0"/>
              <w:bottom w:val="single" w:color="auto" w:sz="6" w:space="0"/>
              <w:right w:val="single" w:color="auto" w:sz="6" w:space="0"/>
              <w:tl2br w:val="nil"/>
              <w:tr2bl w:val="nil"/>
            </w:tcBorders>
            <w:vAlign w:val="center"/>
          </w:tcPr>
          <w:p>
            <w:pPr>
              <w:widowControl/>
              <w:jc w:val="left"/>
            </w:pPr>
          </w:p>
        </w:tc>
        <w:tc>
          <w:tcPr>
            <w:tcW w:w="948" w:type="dxa"/>
            <w:vMerge w:val="continue"/>
            <w:tcBorders>
              <w:left w:val="single" w:color="auto" w:sz="6" w:space="0"/>
              <w:bottom w:val="single" w:color="auto" w:sz="6" w:space="0"/>
              <w:right w:val="single" w:color="auto" w:sz="6" w:space="0"/>
              <w:tl2br w:val="nil"/>
              <w:tr2bl w:val="nil"/>
            </w:tcBorders>
            <w:vAlign w:val="center"/>
          </w:tcPr>
          <w:p>
            <w:pPr>
              <w:widowControl/>
              <w:jc w:val="left"/>
            </w:pPr>
          </w:p>
        </w:tc>
        <w:tc>
          <w:tcPr>
            <w:tcW w:w="1115" w:type="dxa"/>
            <w:vMerge w:val="continue"/>
            <w:tcBorders>
              <w:left w:val="single" w:color="auto" w:sz="6" w:space="0"/>
              <w:bottom w:val="single" w:color="auto" w:sz="6" w:space="0"/>
              <w:right w:val="single" w:color="auto" w:sz="6" w:space="0"/>
              <w:tl2br w:val="nil"/>
              <w:tr2bl w:val="nil"/>
            </w:tcBorders>
            <w:vAlign w:val="center"/>
          </w:tcPr>
          <w:p>
            <w:pPr>
              <w:widowControl/>
              <w:jc w:val="left"/>
            </w:pPr>
          </w:p>
        </w:tc>
        <w:tc>
          <w:tcPr>
            <w:tcW w:w="16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eastAsia="zh-CN"/>
              </w:rPr>
              <w:t>工作数量</w:t>
            </w:r>
            <w:r>
              <w:rPr>
                <w:rFonts w:hint="eastAsia" w:asciiTheme="minorEastAsia" w:hAnsiTheme="minorEastAsia" w:eastAsiaTheme="minorEastAsia" w:cstheme="minorEastAsia"/>
                <w:color w:val="000000"/>
                <w:sz w:val="24"/>
                <w:lang w:val="en-US" w:eastAsia="zh-CN"/>
              </w:rPr>
              <w:t>5480</w:t>
            </w:r>
          </w:p>
        </w:tc>
        <w:tc>
          <w:tcPr>
            <w:tcW w:w="482" w:type="dxa"/>
            <w:tcBorders>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5480</w:t>
            </w:r>
          </w:p>
        </w:tc>
        <w:tc>
          <w:tcPr>
            <w:tcW w:w="1128" w:type="dxa"/>
            <w:vMerge w:val="continue"/>
            <w:tcBorders>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p>
        </w:tc>
        <w:tc>
          <w:tcPr>
            <w:tcW w:w="718" w:type="dxa"/>
            <w:vMerge w:val="continue"/>
            <w:tcBorders>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p>
        </w:tc>
        <w:tc>
          <w:tcPr>
            <w:tcW w:w="884" w:type="dxa"/>
            <w:vMerge w:val="continue"/>
            <w:tcBorders>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p>
        </w:tc>
        <w:tc>
          <w:tcPr>
            <w:tcW w:w="1443" w:type="dxa"/>
            <w:vMerge w:val="continue"/>
            <w:tcBorders>
              <w:left w:val="single" w:color="auto" w:sz="6" w:space="0"/>
              <w:bottom w:val="single" w:color="auto" w:sz="6" w:space="0"/>
              <w:right w:val="single" w:color="auto" w:sz="12" w:space="0"/>
              <w:tl2br w:val="nil"/>
              <w:tr2bl w:val="nil"/>
            </w:tcBorders>
            <w:vAlign w:val="center"/>
          </w:tcPr>
          <w:p>
            <w:pPr>
              <w:widowControl/>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1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6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r>
              <w:rPr>
                <w:rFonts w:eastAsia="仿宋_GB2312" w:cs="Times New Roman"/>
                <w:color w:val="000000"/>
                <w:kern w:val="0"/>
              </w:rPr>
              <w:t>科学管理机构编制</w:t>
            </w:r>
          </w:p>
        </w:tc>
        <w:tc>
          <w:tcPr>
            <w:tcW w:w="48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eastAsia="仿宋_GB2312"/>
                <w:color w:val="000000"/>
                <w:kern w:val="0"/>
                <w:lang w:val="en-US" w:eastAsia="zh-CN"/>
              </w:rPr>
              <w:t>270</w:t>
            </w:r>
          </w:p>
        </w:tc>
        <w:tc>
          <w:tcPr>
            <w:tcW w:w="112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eastAsia="仿宋_GB2312"/>
                <w:color w:val="000000"/>
                <w:kern w:val="0"/>
                <w:lang w:val="en-US" w:eastAsia="zh-CN"/>
              </w:rPr>
              <w:t>270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111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6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eastAsia="仿宋_GB2312"/>
                <w:color w:val="000000"/>
                <w:kern w:val="0"/>
              </w:rPr>
              <w:t>实现编制、财政供养人员一致</w:t>
            </w:r>
          </w:p>
        </w:tc>
        <w:tc>
          <w:tcPr>
            <w:tcW w:w="48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eastAsia="仿宋_GB2312"/>
                <w:color w:val="000000"/>
                <w:kern w:val="0"/>
                <w:lang w:val="en-US" w:eastAsia="zh-CN"/>
              </w:rPr>
              <w:t>5210</w:t>
            </w:r>
          </w:p>
        </w:tc>
        <w:tc>
          <w:tcPr>
            <w:tcW w:w="112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eastAsia="仿宋_GB2312"/>
                <w:color w:val="000000"/>
                <w:kern w:val="0"/>
                <w:lang w:val="en-US" w:eastAsia="zh-CN"/>
              </w:rPr>
              <w:t>5210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1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6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eastAsia="仿宋_GB2312"/>
                <w:color w:val="000000"/>
                <w:kern w:val="0"/>
              </w:rPr>
              <w:t>精简机构、服务经济社会发展</w:t>
            </w:r>
          </w:p>
        </w:tc>
        <w:tc>
          <w:tcPr>
            <w:tcW w:w="48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eastAsia="仿宋_GB2312"/>
                <w:color w:val="000000"/>
                <w:kern w:val="0"/>
                <w:lang w:val="en-US" w:eastAsia="zh-CN"/>
              </w:rPr>
              <w:t>270</w:t>
            </w:r>
          </w:p>
        </w:tc>
        <w:tc>
          <w:tcPr>
            <w:tcW w:w="112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eastAsia="仿宋_GB2312"/>
                <w:color w:val="000000"/>
                <w:kern w:val="0"/>
                <w:lang w:val="en-US" w:eastAsia="zh-CN"/>
              </w:rPr>
              <w:t>270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11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6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r>
              <w:rPr>
                <w:rFonts w:eastAsia="仿宋_GB2312"/>
                <w:color w:val="000000"/>
                <w:kern w:val="0"/>
              </w:rPr>
              <w:t>服务对象满意度</w:t>
            </w:r>
          </w:p>
        </w:tc>
        <w:tc>
          <w:tcPr>
            <w:tcW w:w="48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r>
              <w:rPr>
                <w:rFonts w:eastAsia="仿宋_GB2312"/>
                <w:color w:val="000000"/>
                <w:kern w:val="0"/>
              </w:rPr>
              <w:t>≧95%</w:t>
            </w:r>
          </w:p>
        </w:tc>
        <w:tc>
          <w:tcPr>
            <w:tcW w:w="112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eastAsia="仿宋_GB2312" w:asciiTheme="minorEastAsia" w:hAnsiTheme="minorEastAsia" w:cstheme="minorEastAsia"/>
                <w:color w:val="000000"/>
                <w:sz w:val="24"/>
                <w:lang w:val="en-US" w:eastAsia="zh-CN"/>
              </w:rPr>
            </w:pPr>
            <w:r>
              <w:rPr>
                <w:rFonts w:eastAsia="仿宋_GB2312"/>
                <w:color w:val="000000"/>
                <w:kern w:val="0"/>
              </w:rPr>
              <w:t>　</w:t>
            </w:r>
            <w:r>
              <w:rPr>
                <w:rFonts w:hint="eastAsia" w:eastAsia="仿宋_GB2312"/>
                <w:color w:val="000000"/>
                <w:kern w:val="0"/>
                <w:lang w:val="en-US" w:eastAsia="zh-CN"/>
              </w:rPr>
              <w:t>98%</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r>
              <w:rPr>
                <w:rFonts w:eastAsia="仿宋_GB2312"/>
                <w:color w:val="000000"/>
                <w:kern w:val="0"/>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default" w:asciiTheme="minorEastAsia" w:hAnsiTheme="minorEastAsia" w:eastAsiaTheme="minorEastAsia" w:cstheme="minorEastAsia"/>
                <w:color w:val="000000"/>
                <w:sz w:val="24"/>
              </w:rPr>
            </w:pPr>
            <w:r>
              <w:rPr>
                <w:rFonts w:eastAsia="仿宋_GB2312"/>
                <w:color w:val="000000"/>
                <w:kern w:val="0"/>
              </w:rPr>
              <w:t>　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bl>
    <w:p>
      <w:pPr>
        <w:spacing w:line="440" w:lineRule="exact"/>
        <w:jc w:val="left"/>
        <w:rPr>
          <w:rFonts w:hint="default" w:eastAsia="仿宋_GB2312"/>
          <w:color w:val="000000"/>
          <w:kern w:val="0"/>
        </w:rPr>
      </w:pPr>
      <w:r>
        <w:rPr>
          <w:rFonts w:eastAsia="仿宋_GB2312"/>
          <w:color w:val="000000"/>
          <w:kern w:val="0"/>
        </w:rPr>
        <w:t xml:space="preserve">填表人：夏亮   </w:t>
      </w: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10"/>
        <w:tblpPr w:leftFromText="180" w:rightFromText="180" w:vertAnchor="text" w:horzAnchor="margin" w:tblpXSpec="center" w:tblpY="189"/>
        <w:tblW w:w="91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0"/>
        <w:gridCol w:w="2214"/>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32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2214"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机构改革业务专项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320"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221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18.59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320"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221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县委编办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320"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221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完成全县机构、编制、人员的日常运作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32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221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严格按照预算编制的相关制度和要求进行预算编制；加强财务管理，严格财务审核。在费用报账支付时，按照预算规定的费用项目和用途进行资金使用审核、列报支付、财务核算。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320"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221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《机构编制条例》及法规持续贯彻落实、机构改革成果明显巩固、继续深化行政执法机构改革、科学管理机构编制，服务经济社会发展。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32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221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rPr>
                <w:rFonts w:hint="default" w:asciiTheme="minorEastAsia" w:hAnsiTheme="minorEastAsia" w:eastAsiaTheme="minorEastAsia" w:cstheme="minorEastAsia"/>
                <w:sz w:val="24"/>
              </w:rPr>
            </w:pPr>
            <w:r>
              <w:rPr>
                <w:rFonts w:eastAsia="仿宋_GB2312"/>
                <w:sz w:val="24"/>
              </w:rPr>
              <w:t>单位项目资金预算不足，预算编制细化不够。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1320"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2214"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全面编制预算项目，优先保障固定性的、相对刚性的费用项目，尽量压缩变动性的、有控制空间的费用项目，进一步提高预算编制的科学性、严谨性和可控性。加强内部预算编制的审核和预算控制指标的下达。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20"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2214"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eastAsia="仿宋_GB2312"/>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600" w:lineRule="exact"/>
        <w:jc w:val="left"/>
        <w:rPr>
          <w:rFonts w:hint="default" w:eastAsia="仿宋_GB2312"/>
          <w:color w:val="000000"/>
          <w:kern w:val="0"/>
        </w:rPr>
      </w:pPr>
      <w:r>
        <w:rPr>
          <w:rFonts w:eastAsia="仿宋_GB2312"/>
          <w:color w:val="000000"/>
          <w:kern w:val="0"/>
        </w:rPr>
        <w:t xml:space="preserve">填表人：夏亮 </w:t>
      </w:r>
    </w:p>
    <w:p>
      <w:pPr>
        <w:spacing w:line="600" w:lineRule="exact"/>
        <w:jc w:val="left"/>
        <w:rPr>
          <w:rFonts w:hint="default" w:eastAsia="仿宋_GB2312"/>
          <w:color w:val="000000"/>
          <w:kern w:val="0"/>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10"/>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4"/>
        <w:gridCol w:w="922"/>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84"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372"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机构改革业务支出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1084"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377"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县委编办</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县委编办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84"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007"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007"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26.59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31.09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31.02</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99.8%</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007"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26.59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31.09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31.02</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99.8%</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007"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007"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1084"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377"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377"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26.59</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jc w:val="center"/>
        </w:trPr>
        <w:tc>
          <w:tcPr>
            <w:tcW w:w="1084"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rPr>
            </w:pPr>
            <w:r>
              <w:rPr>
                <w:rFonts w:eastAsia="仿宋_GB2312"/>
                <w:color w:val="000000"/>
                <w:kern w:val="0"/>
                <w:sz w:val="18"/>
                <w:szCs w:val="18"/>
              </w:rPr>
              <w:t>为事业单位登记办证</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31.02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31.02</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rPr>
            </w:pPr>
            <w:r>
              <w:rPr>
                <w:rFonts w:eastAsia="仿宋_GB2312"/>
                <w:color w:val="000000"/>
                <w:kern w:val="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rPr>
            </w:pPr>
            <w:r>
              <w:rPr>
                <w:rFonts w:eastAsia="仿宋_GB2312"/>
                <w:color w:val="000000"/>
                <w:kern w:val="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widowControl/>
              <w:spacing w:line="300" w:lineRule="exact"/>
              <w:jc w:val="center"/>
              <w:rPr>
                <w:rFonts w:hint="default" w:eastAsia="仿宋_GB2312"/>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ind w:left="180" w:hanging="180" w:hangingChars="100"/>
              <w:jc w:val="center"/>
              <w:rPr>
                <w:rFonts w:hint="default" w:eastAsia="仿宋_GB2312"/>
                <w:color w:val="000000"/>
                <w:kern w:val="0"/>
                <w:sz w:val="18"/>
                <w:szCs w:val="18"/>
              </w:rPr>
            </w:pPr>
            <w:r>
              <w:rPr>
                <w:rFonts w:eastAsia="仿宋_GB2312"/>
                <w:color w:val="000000"/>
                <w:kern w:val="0"/>
                <w:sz w:val="18"/>
                <w:szCs w:val="18"/>
              </w:rPr>
              <w:t>实名制登记管的的理理</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31.02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31.02</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rPr>
            </w:pPr>
            <w:r>
              <w:rPr>
                <w:rFonts w:eastAsia="仿宋_GB2312"/>
                <w:color w:val="000000"/>
                <w:kern w:val="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line="300" w:lineRule="exact"/>
              <w:jc w:val="center"/>
              <w:rPr>
                <w:rFonts w:hint="default" w:eastAsia="仿宋_GB2312"/>
                <w:color w:val="000000"/>
                <w:kern w:val="0"/>
                <w:sz w:val="18"/>
                <w:szCs w:val="18"/>
              </w:rPr>
            </w:pPr>
            <w:r>
              <w:rPr>
                <w:rFonts w:eastAsia="仿宋_GB2312"/>
                <w:color w:val="000000"/>
                <w:kern w:val="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9"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kern w:val="0"/>
              </w:rPr>
              <w:t>该项目符合国家节能环保要求</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restart"/>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（30分）</w:t>
            </w:r>
          </w:p>
        </w:tc>
        <w:tc>
          <w:tcPr>
            <w:tcW w:w="1085" w:type="dxa"/>
            <w:vMerge w:val="restart"/>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vMerge w:val="restart"/>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单位机构数及供养人员</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270</w:t>
            </w:r>
          </w:p>
        </w:tc>
        <w:tc>
          <w:tcPr>
            <w:tcW w:w="1140" w:type="dxa"/>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270</w:t>
            </w:r>
          </w:p>
        </w:tc>
        <w:tc>
          <w:tcPr>
            <w:tcW w:w="832" w:type="dxa"/>
            <w:vMerge w:val="restart"/>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vMerge w:val="restart"/>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vMerge w:val="restart"/>
            <w:tcBorders>
              <w:top w:val="single" w:color="auto" w:sz="6" w:space="0"/>
              <w:left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084" w:type="dxa"/>
            <w:vMerge w:val="continue"/>
            <w:tcBorders>
              <w:left w:val="single" w:color="auto" w:sz="12" w:space="0"/>
              <w:bottom w:val="single" w:color="auto" w:sz="6" w:space="0"/>
              <w:right w:val="single" w:color="auto" w:sz="6" w:space="0"/>
              <w:tl2br w:val="nil"/>
              <w:tr2bl w:val="nil"/>
            </w:tcBorders>
            <w:vAlign w:val="center"/>
          </w:tcPr>
          <w:p/>
        </w:tc>
        <w:tc>
          <w:tcPr>
            <w:tcW w:w="922" w:type="dxa"/>
            <w:vMerge w:val="continue"/>
            <w:tcBorders>
              <w:left w:val="single" w:color="auto" w:sz="6" w:space="0"/>
              <w:bottom w:val="single" w:color="auto" w:sz="6" w:space="0"/>
              <w:right w:val="single" w:color="auto" w:sz="6" w:space="0"/>
              <w:tl2br w:val="nil"/>
              <w:tr2bl w:val="nil"/>
            </w:tcBorders>
            <w:vAlign w:val="center"/>
          </w:tcPr>
          <w:p/>
        </w:tc>
        <w:tc>
          <w:tcPr>
            <w:tcW w:w="1085" w:type="dxa"/>
            <w:vMerge w:val="continue"/>
            <w:tcBorders>
              <w:left w:val="single" w:color="auto" w:sz="6" w:space="0"/>
              <w:bottom w:val="single" w:color="auto" w:sz="6" w:space="0"/>
              <w:right w:val="single" w:color="auto" w:sz="6" w:space="0"/>
              <w:tl2br w:val="nil"/>
              <w:tr2bl w:val="nil"/>
            </w:tcBorders>
            <w:vAlign w:val="center"/>
          </w:tcPr>
          <w:p/>
        </w:tc>
        <w:tc>
          <w:tcPr>
            <w:tcW w:w="1230" w:type="dxa"/>
            <w:vMerge w:val="continue"/>
            <w:tcBorders>
              <w:left w:val="single" w:color="auto" w:sz="6" w:space="0"/>
              <w:bottom w:val="single" w:color="auto" w:sz="6" w:space="0"/>
              <w:right w:val="single" w:color="auto" w:sz="6" w:space="0"/>
              <w:tl2br w:val="nil"/>
              <w:tr2bl w:val="nil"/>
            </w:tcBorders>
            <w:vAlign w:val="center"/>
          </w:tc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5210</w:t>
            </w:r>
          </w:p>
        </w:tc>
        <w:tc>
          <w:tcPr>
            <w:tcW w:w="1140" w:type="dxa"/>
            <w:tcBorders>
              <w:left w:val="single" w:color="auto" w:sz="6"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5210</w:t>
            </w:r>
          </w:p>
        </w:tc>
        <w:tc>
          <w:tcPr>
            <w:tcW w:w="832" w:type="dxa"/>
            <w:vMerge w:val="continue"/>
            <w:tcBorders>
              <w:left w:val="single" w:color="auto" w:sz="6"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color w:val="000000"/>
                <w:sz w:val="24"/>
              </w:rPr>
            </w:pPr>
          </w:p>
        </w:tc>
        <w:tc>
          <w:tcPr>
            <w:tcW w:w="877" w:type="dxa"/>
            <w:vMerge w:val="continue"/>
            <w:tcBorders>
              <w:left w:val="single" w:color="auto" w:sz="6"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color w:val="000000"/>
                <w:sz w:val="24"/>
              </w:rPr>
            </w:pPr>
          </w:p>
        </w:tc>
        <w:tc>
          <w:tcPr>
            <w:tcW w:w="1146" w:type="dxa"/>
            <w:vMerge w:val="continue"/>
            <w:tcBorders>
              <w:left w:val="single" w:color="auto" w:sz="6" w:space="0"/>
              <w:bottom w:val="single" w:color="auto" w:sz="6" w:space="0"/>
              <w:right w:val="single" w:color="auto" w:sz="12" w:space="0"/>
              <w:tl2br w:val="nil"/>
              <w:tr2bl w:val="nil"/>
            </w:tcBorders>
            <w:vAlign w:val="center"/>
          </w:tcPr>
          <w:p>
            <w:pP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1"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实现供养人员一致</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1"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rPr>
                <w:rFonts w:hint="eastAsia" w:eastAsia="仿宋_GB2312" w:asciiTheme="minorEastAsia" w:hAnsiTheme="minorEastAsia" w:cstheme="minorEastAsia"/>
                <w:color w:val="000000"/>
                <w:sz w:val="24"/>
                <w:lang w:val="en-US" w:eastAsia="zh-CN"/>
              </w:rPr>
            </w:pPr>
            <w:r>
              <w:rPr>
                <w:rFonts w:hint="eastAsia" w:eastAsia="仿宋_GB2312"/>
                <w:color w:val="000000"/>
                <w:kern w:val="0"/>
                <w:sz w:val="18"/>
                <w:szCs w:val="18"/>
                <w:lang w:val="en-US" w:eastAsia="zh-CN"/>
              </w:rPr>
              <w:t>1-12月</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widowControl/>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2024年12月前完成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3"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eastAsia" w:asciiTheme="minorEastAsia" w:hAnsiTheme="minorEastAsia" w:eastAsiaTheme="minorEastAsia" w:cstheme="minorEastAsia"/>
                <w:color w:val="000000"/>
                <w:sz w:val="24"/>
                <w:lang w:eastAsia="zh-CN"/>
              </w:rPr>
            </w:pPr>
            <w:r>
              <w:rPr>
                <w:rFonts w:hint="eastAsia" w:eastAsia="仿宋_GB2312"/>
                <w:sz w:val="24"/>
                <w:lang w:eastAsia="zh-CN"/>
              </w:rPr>
              <w:t>充分发挥资金使用效益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eastAsia" w:asciiTheme="minorEastAsia" w:hAnsiTheme="minorEastAsia" w:eastAsiaTheme="minorEastAsia" w:cstheme="minorEastAsia"/>
                <w:color w:val="000000"/>
                <w:sz w:val="24"/>
                <w:lang w:eastAsia="zh-CN"/>
              </w:rPr>
            </w:pPr>
            <w:r>
              <w:rPr>
                <w:rFonts w:hint="eastAsia" w:eastAsia="仿宋_GB2312"/>
                <w:color w:val="000000"/>
                <w:kern w:val="0"/>
                <w:sz w:val="18"/>
                <w:szCs w:val="18"/>
                <w:lang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922"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kern w:val="0"/>
              </w:rPr>
              <w:t>符合国家节能环保要求</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hint="eastAsia" w:eastAsia="仿宋_GB2312"/>
                <w:color w:val="000000"/>
                <w:kern w:val="0"/>
                <w:sz w:val="18"/>
                <w:szCs w:val="18"/>
                <w:lang w:eastAsia="zh-CN"/>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为教育、人事方面提供</w:t>
            </w:r>
            <w:r>
              <w:rPr>
                <w:rFonts w:hint="eastAsia" w:eastAsia="仿宋_GB2312"/>
                <w:color w:val="000000"/>
                <w:kern w:val="0"/>
                <w:sz w:val="18"/>
                <w:szCs w:val="18"/>
                <w:lang w:eastAsia="zh-CN"/>
              </w:rPr>
              <w:t>有效</w:t>
            </w:r>
            <w:r>
              <w:rPr>
                <w:rFonts w:eastAsia="仿宋_GB2312"/>
                <w:color w:val="000000"/>
                <w:kern w:val="0"/>
                <w:sz w:val="18"/>
                <w:szCs w:val="18"/>
              </w:rPr>
              <w:t>依据</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eastAsia" w:asciiTheme="minorEastAsia" w:hAnsiTheme="minorEastAsia" w:eastAsiaTheme="minorEastAsia" w:cstheme="minorEastAsia"/>
                <w:color w:val="000000"/>
                <w:sz w:val="24"/>
                <w:lang w:eastAsia="zh-CN"/>
              </w:rPr>
            </w:pPr>
            <w:r>
              <w:rPr>
                <w:rFonts w:hint="eastAsia" w:eastAsia="仿宋_GB2312"/>
                <w:color w:val="000000"/>
                <w:kern w:val="0"/>
                <w:sz w:val="18"/>
                <w:szCs w:val="18"/>
                <w:lang w:eastAsia="zh-CN"/>
              </w:rPr>
              <w:t>有效提高</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提高明显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widowControl/>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084"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hint="eastAsia" w:eastAsia="仿宋_GB2312"/>
                <w:color w:val="000000"/>
                <w:kern w:val="0"/>
                <w:sz w:val="18"/>
                <w:szCs w:val="18"/>
                <w:lang w:val="en-US" w:eastAsia="zh-CN"/>
              </w:rPr>
              <w:t>95</w:t>
            </w:r>
            <w:r>
              <w:rPr>
                <w:rFonts w:eastAsia="仿宋_GB2312"/>
                <w:color w:val="000000"/>
                <w:kern w:val="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eastAsia"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99</w:t>
            </w:r>
            <w:r>
              <w:rPr>
                <w:rFonts w:hint="eastAsia" w:asciiTheme="minorEastAsia" w:hAnsiTheme="minorEastAsia" w:eastAsiaTheme="minorEastAsia" w:cstheme="minorEastAsia"/>
                <w:color w:val="000000"/>
                <w:sz w:val="24"/>
                <w:lang w:val="en-US" w:eastAsia="zh-CN"/>
              </w:rPr>
              <w:t>%</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center"/>
              <w:rPr>
                <w:rFonts w:hint="default" w:asciiTheme="minorEastAsia" w:hAnsiTheme="minorEastAsia" w:eastAsiaTheme="minorEastAsia" w:cstheme="minorEastAsia"/>
                <w:color w:val="000000"/>
                <w:sz w:val="24"/>
              </w:rPr>
            </w:pPr>
            <w:r>
              <w:rPr>
                <w:rFonts w:eastAsia="仿宋_GB2312"/>
                <w:color w:val="000000"/>
                <w:kern w:val="0"/>
                <w:sz w:val="18"/>
                <w:szCs w:val="18"/>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7"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spacing w:line="600" w:lineRule="exact"/>
        <w:jc w:val="left"/>
        <w:rPr>
          <w:rFonts w:hint="default" w:eastAsia="仿宋_GB2312"/>
          <w:color w:val="000000"/>
          <w:kern w:val="0"/>
        </w:rPr>
      </w:pPr>
      <w:r>
        <w:rPr>
          <w:rFonts w:eastAsia="仿宋_GB2312"/>
          <w:color w:val="000000"/>
          <w:kern w:val="0"/>
        </w:rPr>
        <w:t xml:space="preserve">填表人：夏亮 </w:t>
      </w:r>
    </w:p>
    <w:p>
      <w:pPr>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p>
    <w:p>
      <w:pPr>
        <w:pStyle w:val="2"/>
        <w:ind w:left="420"/>
        <w:rPr>
          <w:rFonts w:hint="default"/>
        </w:rPr>
      </w:pPr>
      <w:bookmarkStart w:id="1" w:name="_GoBack"/>
      <w:bookmarkEnd w:id="1"/>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lBg+EBAADMAwAADgAAAGRycy9lMm9Eb2MueG1srVNNrtMwEN4jcQfL&#10;e5q0SK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P+fMCUsXfvn+7fLj1+XnV7ZM&#10;8vQhVlR1F6gOh1d+oKWZ45GCifXQgk1/4sMoT+Ker+KqAZlMh9ar9bqklKTc7BB+cX88QMQ3yluW&#10;jJoD3V4WVZzeRRxL55LUzflbbUy+QeP+ChDmGFF5BabTick4cbJw2A8Tvb1vzsSOHgV17Tx84ayn&#10;lai5oxfAmXnrSPG0PbMBs7GfDeEkHaw5cjaar3HcsmMAfegId5mpxPDyiDR3ppPGGHuTDMmhS86C&#10;TAuZtuhPP1fdP8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VqUGD4QEAAMwDAAAOAAAA&#10;AAAAAAEAIAAAAB4BAABkcnMvZTJvRG9jLnhtbFBLBQYAAAAABgAGAFkBAABxBQ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11</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kBouIBAADMAwAADgAAAGRycy9lMm9Eb2MueG1srVNNrtMwEN4jcQfL&#10;e5q0SK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rzhzwtKFX75/u/z4dfn5lT1P&#10;8vQeK6q681QXh1cw0NLMcaRgYj20waY/8WGUJ3HPV3HVEJlMh9ar9bqklKTc7BB+cX/cB4xvFFiW&#10;jJoHur0sqji9wziWziWpm4NbbUy+QeP+ChDmGFF5BabTick4cbLisB8mentozsSOHgV17SB84ayn&#10;lai5oxfAmXnrSPG0PbMRZmM/G8JJOljzyNlovo7jlh190IeOcJeZCvqXx0hzZzppjLE3yZAcuuQs&#10;yLSQaYv+9HPV/SP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9kBouIBAADMAwAADgAA&#10;AAAAAAABACAAAAAeAQAAZHJzL2Uyb0RvYy54bWxQSwUGAAAAAAYABgBZAQAAcgU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10</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C8ADB"/>
    <w:multiLevelType w:val="singleLevel"/>
    <w:tmpl w:val="1E7C8ADB"/>
    <w:lvl w:ilvl="0" w:tentative="0">
      <w:start w:val="2"/>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682D9F82"/>
    <w:multiLevelType w:val="singleLevel"/>
    <w:tmpl w:val="682D9F82"/>
    <w:lvl w:ilvl="0" w:tentative="0">
      <w:start w:val="3"/>
      <w:numFmt w:val="chineseCounting"/>
      <w:suff w:val="nothing"/>
      <w:lvlText w:val="%1、"/>
      <w:lvlJc w:val="left"/>
      <w:pPr>
        <w:ind w:left="-10"/>
      </w:pPr>
      <w:rPr>
        <w:rFonts w:hint="eastAsia"/>
      </w:rPr>
    </w:lvl>
  </w:abstractNum>
  <w:abstractNum w:abstractNumId="3">
    <w:nsid w:val="7D518D26"/>
    <w:multiLevelType w:val="singleLevel"/>
    <w:tmpl w:val="7D518D26"/>
    <w:lvl w:ilvl="0" w:tentative="0">
      <w:start w:val="8"/>
      <w:numFmt w:val="chineseCounting"/>
      <w:suff w:val="nothing"/>
      <w:lvlText w:val="%1、"/>
      <w:lvlJc w:val="left"/>
      <w:pPr>
        <w:ind w:left="-10"/>
      </w:pPr>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_x000a_Ŭ"/>
  </w:docVars>
  <w:rsids>
    <w:rsidRoot w:val="00172A27"/>
    <w:rsid w:val="000E1123"/>
    <w:rsid w:val="00153813"/>
    <w:rsid w:val="00172A27"/>
    <w:rsid w:val="002904E5"/>
    <w:rsid w:val="004872C4"/>
    <w:rsid w:val="005D2C28"/>
    <w:rsid w:val="00614A54"/>
    <w:rsid w:val="006A3161"/>
    <w:rsid w:val="007A2FE9"/>
    <w:rsid w:val="008F74CE"/>
    <w:rsid w:val="009A145D"/>
    <w:rsid w:val="00DF13AD"/>
    <w:rsid w:val="03A60407"/>
    <w:rsid w:val="04320F3E"/>
    <w:rsid w:val="076D6345"/>
    <w:rsid w:val="07B67B7E"/>
    <w:rsid w:val="0CCE5073"/>
    <w:rsid w:val="101F3C57"/>
    <w:rsid w:val="105E064F"/>
    <w:rsid w:val="10A32352"/>
    <w:rsid w:val="154B3473"/>
    <w:rsid w:val="15B02F86"/>
    <w:rsid w:val="18EB3160"/>
    <w:rsid w:val="1BCE59A7"/>
    <w:rsid w:val="1C6A490D"/>
    <w:rsid w:val="1D5E5630"/>
    <w:rsid w:val="1DE86314"/>
    <w:rsid w:val="1E205195"/>
    <w:rsid w:val="1F9C1D8C"/>
    <w:rsid w:val="20BA3D5C"/>
    <w:rsid w:val="20FE29CD"/>
    <w:rsid w:val="213827F6"/>
    <w:rsid w:val="24756501"/>
    <w:rsid w:val="272E0923"/>
    <w:rsid w:val="2AF82401"/>
    <w:rsid w:val="31EF3498"/>
    <w:rsid w:val="33457B5A"/>
    <w:rsid w:val="33EA0D37"/>
    <w:rsid w:val="3DFB432B"/>
    <w:rsid w:val="41A60F90"/>
    <w:rsid w:val="437042B4"/>
    <w:rsid w:val="43D25C86"/>
    <w:rsid w:val="47FF7E2A"/>
    <w:rsid w:val="4A7E5437"/>
    <w:rsid w:val="4B490F32"/>
    <w:rsid w:val="4B564457"/>
    <w:rsid w:val="4BCD4F5D"/>
    <w:rsid w:val="4C575977"/>
    <w:rsid w:val="4C800F0E"/>
    <w:rsid w:val="4DF30F3A"/>
    <w:rsid w:val="4E8B7C40"/>
    <w:rsid w:val="4F1637A4"/>
    <w:rsid w:val="4FE77D97"/>
    <w:rsid w:val="500F1BD2"/>
    <w:rsid w:val="51C40746"/>
    <w:rsid w:val="543E6CC0"/>
    <w:rsid w:val="55412274"/>
    <w:rsid w:val="55C03679"/>
    <w:rsid w:val="57C446E9"/>
    <w:rsid w:val="58820FB8"/>
    <w:rsid w:val="5ABA52A9"/>
    <w:rsid w:val="5C8E01AF"/>
    <w:rsid w:val="62A81C2D"/>
    <w:rsid w:val="62BE6D8B"/>
    <w:rsid w:val="64E742EF"/>
    <w:rsid w:val="65DF3E5B"/>
    <w:rsid w:val="684B0AD7"/>
    <w:rsid w:val="70380F83"/>
    <w:rsid w:val="726D37F9"/>
    <w:rsid w:val="75073918"/>
    <w:rsid w:val="75F36595"/>
    <w:rsid w:val="764D12A6"/>
    <w:rsid w:val="771A18F7"/>
    <w:rsid w:val="7E991F23"/>
    <w:rsid w:val="7EA50882"/>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hint="default" w:ascii="Calibri" w:hAnsi="Calibri" w:eastAsia="宋体"/>
      <w:kern w:val="0"/>
      <w:sz w:val="24"/>
    </w:rPr>
  </w:style>
  <w:style w:type="paragraph" w:styleId="8">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4"/>
    <w:qFormat/>
    <w:uiPriority w:val="0"/>
    <w:pPr>
      <w:ind w:firstLine="664"/>
    </w:pPr>
  </w:style>
  <w:style w:type="paragraph" w:customStyle="1" w:styleId="12">
    <w:name w:val="列出段落1"/>
    <w:basedOn w:val="1"/>
    <w:unhideWhenUsed/>
    <w:qFormat/>
    <w:uiPriority w:val="34"/>
    <w:pPr>
      <w:ind w:firstLine="420" w:firstLineChars="200"/>
    </w:pPr>
    <w:rPr>
      <w:rFonts w:ascii="仿宋" w:hAnsi="仿宋" w:eastAsia="仿宋"/>
      <w:kern w:val="0"/>
      <w:sz w:val="28"/>
    </w:rPr>
  </w:style>
  <w:style w:type="paragraph" w:styleId="13">
    <w:name w:val="List Paragraph"/>
    <w:basedOn w:val="1"/>
    <w:unhideWhenUsed/>
    <w:qFormat/>
    <w:uiPriority w:val="99"/>
    <w:pPr>
      <w:ind w:firstLine="420" w:firstLineChars="200"/>
    </w:pPr>
    <w:rPr>
      <w:rFonts w:hint="default" w:ascii="Calibri" w:hAnsi="Calibri"/>
      <w:kern w:val="0"/>
      <w:sz w:val="28"/>
    </w:rPr>
  </w:style>
  <w:style w:type="character" w:customStyle="1" w:styleId="14">
    <w:name w:val="页眉 Char"/>
    <w:basedOn w:val="11"/>
    <w:link w:val="6"/>
    <w:qFormat/>
    <w:uiPriority w:val="0"/>
    <w:rPr>
      <w:rFonts w:ascii="Times New Roman" w:hAnsi="Times New Roman" w:eastAsia="Times New Roman"/>
      <w:kern w:val="2"/>
      <w:sz w:val="18"/>
      <w:szCs w:val="18"/>
    </w:rPr>
  </w:style>
  <w:style w:type="character" w:customStyle="1" w:styleId="15">
    <w:name w:val="标题 Char"/>
    <w:basedOn w:val="11"/>
    <w:link w:val="8"/>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3884</Words>
  <Characters>4449</Characters>
  <Lines>12</Lines>
  <Paragraphs>10</Paragraphs>
  <TotalTime>80</TotalTime>
  <ScaleCrop>false</ScaleCrop>
  <LinksUpToDate>false</LinksUpToDate>
  <CharactersWithSpaces>4572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2023-09-12T21:07:00Z</dcterms:created>
  <dc:creator>海之韵</dc:creator>
  <cp:lastModifiedBy>kylin</cp:lastModifiedBy>
  <cp:lastPrinted>2023-09-13T14:17:00Z</cp:lastPrinted>
  <dcterms:modified xsi:type="dcterms:W3CDTF">2025-09-15T16:55:00Z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0191ACDB7B284A7CA00FEA2F584B76D1_13</vt:lpwstr>
  </property>
  <property fmtid="{D5CDD505-2E9C-101B-9397-08002B2CF9AE}" pid="4" name="KSOTemplateDocerSaveRecord">
    <vt:lpwstr>eyJoZGlkIjoiZDk5MzlkNzIxMDkyNjZhNjY2NjBjMzY5NDZiMTk1ZGUifQ==</vt:lpwstr>
  </property>
</Properties>
</file>