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黑体" w:hAnsi="黑体" w:eastAsia="黑体" w:cs="黑体"/>
          <w:sz w:val="32"/>
          <w:szCs w:val="32"/>
        </w:rPr>
      </w:pPr>
    </w:p>
    <w:p>
      <w:pPr>
        <w:widowControl/>
        <w:spacing w:line="540" w:lineRule="exact"/>
        <w:jc w:val="left"/>
        <w:rPr>
          <w:rFonts w:hint="default" w:ascii="仿宋_GB2312" w:hAnsi="仿宋_GB2312" w:eastAsia="仿宋_GB2312" w:cs="仿宋_GB2312"/>
          <w:sz w:val="32"/>
        </w:rPr>
      </w:pPr>
      <w:r>
        <w:rPr>
          <w:rFonts w:ascii="黑体" w:hAnsi="黑体" w:eastAsia="黑体" w:cs="黑体"/>
          <w:sz w:val="32"/>
          <w:szCs w:val="32"/>
        </w:rPr>
        <w:t>附件1</w:t>
      </w:r>
    </w:p>
    <w:p>
      <w:pPr>
        <w:jc w:val="center"/>
        <w:outlineLvl w:val="1"/>
        <w:rPr>
          <w:rFonts w:hint="default" w:ascii="方正小标宋简体" w:eastAsia="方正小标宋简体"/>
          <w:sz w:val="52"/>
        </w:rPr>
      </w:pPr>
      <w:r>
        <w:rPr>
          <w:rFonts w:ascii="方正小标宋简体" w:eastAsia="方正小标宋简体"/>
          <w:sz w:val="52"/>
        </w:rPr>
        <w:t>2024年度双牌县上梧江瑶族乡人民政府部门整体支出绩效自评报告</w:t>
      </w: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rPr>
          <w:rFonts w:hint="default" w:eastAsia="黑体"/>
          <w:sz w:val="32"/>
        </w:rPr>
      </w:pPr>
    </w:p>
    <w:p>
      <w:pPr>
        <w:jc w:val="center"/>
        <w:rPr>
          <w:rFonts w:hint="default" w:eastAsia="黑体"/>
          <w:sz w:val="32"/>
        </w:rPr>
      </w:pPr>
    </w:p>
    <w:p>
      <w:pPr>
        <w:jc w:val="center"/>
        <w:rPr>
          <w:rFonts w:hint="default" w:eastAsia="黑体"/>
          <w:sz w:val="32"/>
        </w:rPr>
      </w:pPr>
    </w:p>
    <w:p>
      <w:pPr>
        <w:jc w:val="center"/>
        <w:rPr>
          <w:rFonts w:hint="default" w:eastAsia="黑体"/>
          <w:sz w:val="32"/>
        </w:rPr>
      </w:pPr>
    </w:p>
    <w:p>
      <w:pPr>
        <w:spacing w:line="600" w:lineRule="exact"/>
        <w:jc w:val="center"/>
        <w:rPr>
          <w:rFonts w:hint="default" w:eastAsia="仿宋_GB2312"/>
          <w:sz w:val="32"/>
          <w:u w:val="single"/>
        </w:rPr>
      </w:pPr>
      <w:r>
        <w:rPr>
          <w:rFonts w:eastAsia="仿宋_GB2312"/>
          <w:sz w:val="32"/>
        </w:rPr>
        <w:t>单位名称（盖章）：</w:t>
      </w:r>
      <w:r>
        <w:rPr>
          <w:rFonts w:eastAsia="仿宋_GB2312"/>
          <w:sz w:val="32"/>
          <w:u w:val="single"/>
        </w:rPr>
        <w:t>双牌县上梧江瑶族乡人民政府</w:t>
      </w:r>
    </w:p>
    <w:p>
      <w:pPr>
        <w:spacing w:line="600" w:lineRule="exact"/>
        <w:ind w:firstLine="3200" w:firstLineChars="1000"/>
        <w:jc w:val="center"/>
        <w:rPr>
          <w:rFonts w:hint="default" w:eastAsia="楷体_GB2312"/>
          <w:sz w:val="32"/>
        </w:rPr>
      </w:pPr>
    </w:p>
    <w:p>
      <w:pPr>
        <w:spacing w:line="600" w:lineRule="exact"/>
        <w:ind w:firstLine="3200" w:firstLineChars="1000"/>
        <w:rPr>
          <w:rFonts w:hint="default" w:eastAsia="楷体_GB2312"/>
          <w:sz w:val="32"/>
        </w:rPr>
      </w:pPr>
      <w:r>
        <w:rPr>
          <w:rFonts w:eastAsia="楷体_GB2312"/>
          <w:sz w:val="32"/>
        </w:rPr>
        <w:t>2025年 6月 12日</w:t>
      </w:r>
    </w:p>
    <w:p>
      <w:pPr>
        <w:jc w:val="center"/>
        <w:rPr>
          <w:rFonts w:hint="default" w:eastAsia="黑体"/>
          <w:sz w:val="32"/>
        </w:rPr>
      </w:pPr>
    </w:p>
    <w:p>
      <w:pPr>
        <w:jc w:val="center"/>
        <w:outlineLvl w:val="0"/>
        <w:rPr>
          <w:rFonts w:hint="default" w:eastAsia="仿宋_GB2312"/>
          <w:sz w:val="32"/>
        </w:rPr>
      </w:pPr>
      <w:r>
        <w:rPr>
          <w:rFonts w:eastAsia="仿宋_GB2312"/>
          <w:sz w:val="32"/>
        </w:rPr>
        <w:t xml:space="preserve">     （此页为封面）</w:t>
      </w:r>
    </w:p>
    <w:p>
      <w:pPr>
        <w:numPr>
          <w:ilvl w:val="0"/>
          <w:numId w:val="1"/>
        </w:numPr>
        <w:spacing w:line="570" w:lineRule="exact"/>
        <w:outlineLvl w:val="0"/>
        <w:rPr>
          <w:rFonts w:hint="default" w:eastAsia="黑体"/>
          <w:sz w:val="32"/>
        </w:rPr>
      </w:pPr>
      <w:r>
        <w:rPr>
          <w:rFonts w:hint="default" w:eastAsia="仿宋_GB2312"/>
          <w:sz w:val="32"/>
        </w:rPr>
        <w:br w:type="page"/>
      </w:r>
      <w:r>
        <w:rPr>
          <w:rFonts w:eastAsia="黑体"/>
          <w:sz w:val="32"/>
        </w:rPr>
        <w:t>部门（单位）基本情况</w:t>
      </w:r>
    </w:p>
    <w:p>
      <w:pPr>
        <w:pStyle w:val="7"/>
        <w:shd w:val="clear" w:color="auto" w:fill="FFFFFF"/>
        <w:spacing w:beforeAutospacing="0" w:afterAutospacing="0" w:line="525" w:lineRule="atLeast"/>
        <w:ind w:firstLine="645"/>
        <w:jc w:val="both"/>
        <w:rPr>
          <w:rFonts w:ascii="仿宋" w:hAnsi="仿宋" w:eastAsia="仿宋" w:cs="仿宋"/>
          <w:color w:val="000000"/>
          <w:sz w:val="30"/>
          <w:szCs w:val="30"/>
        </w:rPr>
      </w:pPr>
      <w:r>
        <w:rPr>
          <w:rFonts w:hint="eastAsia" w:ascii="仿宋" w:hAnsi="仿宋" w:eastAsia="仿宋" w:cs="仿宋"/>
          <w:color w:val="000000"/>
          <w:sz w:val="30"/>
          <w:szCs w:val="30"/>
        </w:rPr>
        <w:t>1、职能职责</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（一）贯彻执行党的路线、方针、政策和国家的法律、法规，落实上级党委、政府的各项决议和决定，贯彻执行本乡党代会和人民代表大会的决议和决定。</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（二）对本辖区重大问题进行决策，制定本乡行政区域内的经济和社会发展规划，并组织实施。</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（三）负责全乡党的组织、思想和作风建设，提高党组织的战斗力和凝聚力，充分发挥党员的先锋模范作用。负责做好管理权限范围内干部的日常管理工作。</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（四）负责强化本乡平安建设、法治建设，加强信访工作，建立社会矛盾纠纷多元预防调处化解机制，及时化解各类矛盾纠纷，建立和健全群防群治网络，维护农村社会稳定。</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五）负责本乡农业农村、林业、水利、自然资源、乡村振兴、动植物防疫、规划建设、生态环境保护、交通运输、科技和工业信息、商务、应急管理、市场监督管理及财政、民政、教育、体育、旅游、文化广电、民族宗教、统计、劳动和社会保障等方面工作。</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（六）贯彻执行卫生健康和计划生育法律法规、政策，组织开展本乡卫生健康和人口与计划生育工作。</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（七）负责本乡退役军人事务、国防动员教育、人民武装、民兵预备役等管理工作。</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（八）充分发挥乡党委的领导核心作用，保证和支持基层自治组织行使职权，实行依法自治，充分发挥基层群众自治组织的自我教育、自我管理、自我建设、自我服务作用。</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（九）负责本乡纪检监察、组织、人事、宣传、统战、工会、共青团、妇联、残联、科协等工作。承担人大和政协联络等相关工作。</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（十）负责集中行使集镇管理和法律法规赋予、上级部门下放或者委托下放的行政执法权。</w:t>
      </w:r>
    </w:p>
    <w:p>
      <w:pPr>
        <w:pStyle w:val="7"/>
        <w:shd w:val="clear" w:color="auto" w:fill="FFFFFF"/>
        <w:spacing w:beforeAutospacing="0" w:afterAutospacing="0" w:line="525" w:lineRule="atLeast"/>
        <w:ind w:firstLine="645"/>
        <w:jc w:val="both"/>
        <w:rPr>
          <w:rFonts w:hint="eastAsia" w:ascii="仿宋" w:hAnsi="仿宋" w:eastAsia="仿宋" w:cs="仿宋"/>
          <w:color w:val="000000"/>
          <w:sz w:val="30"/>
          <w:szCs w:val="30"/>
        </w:rPr>
      </w:pPr>
      <w:r>
        <w:rPr>
          <w:rFonts w:hint="eastAsia" w:ascii="仿宋" w:hAnsi="仿宋" w:eastAsia="仿宋" w:cs="仿宋"/>
          <w:color w:val="000000"/>
          <w:sz w:val="30"/>
          <w:szCs w:val="30"/>
        </w:rPr>
        <w:t>（十一）完成县委、县政府交办的其他工作。</w:t>
      </w:r>
    </w:p>
    <w:p>
      <w:pPr>
        <w:pStyle w:val="7"/>
        <w:shd w:val="clear" w:color="auto" w:fill="FFFFFF"/>
        <w:spacing w:beforeAutospacing="0" w:afterAutospacing="0" w:line="525" w:lineRule="atLeast"/>
        <w:ind w:firstLine="645"/>
        <w:jc w:val="both"/>
        <w:rPr>
          <w:rFonts w:ascii="仿宋" w:hAnsi="仿宋" w:eastAsia="仿宋" w:cs="仿宋"/>
          <w:color w:val="000000"/>
          <w:sz w:val="30"/>
          <w:szCs w:val="30"/>
        </w:rPr>
      </w:pPr>
      <w:r>
        <w:rPr>
          <w:rFonts w:hint="eastAsia" w:ascii="仿宋" w:hAnsi="仿宋" w:eastAsia="仿宋" w:cs="仿宋"/>
          <w:color w:val="000000"/>
          <w:sz w:val="30"/>
          <w:szCs w:val="30"/>
        </w:rPr>
        <w:t>2、机构设置</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xml:space="preserve">（一）党政办公室。承担乡党委、政府日常事务，负责综合协调、督查考核、文秘信息、保密档案、重要会务及机关行政后勤管理等工作；负责人大、政协的建议、提案、议案办理和人大代表、政协委员的联络服务工作；负责行政审批制度改革、权责清单、政务公开和管理服务、电子政务、数据管理、网格管理、信息化建设和信用体系建设等工作。     </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二）党建办公室。负责基层党的政治建设、组织建设、干部人事、人才、机构编制、工会、共青团、妇联、老干部和关心下一代等工作；负责意识形态、宣传思想、新闻舆情和精神文明建设工作；负责统一战线、民族宗教事务；负责党风廉政建设和反腐败等工作。</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经济发展办公室。负责拟订经济社会发展规划、村乡规划和产业发展规划并组织实施；负责优化投资营商环境、招商引资、企业服务、民营经济发展、合作经济组织建设；负责推进产业结构调整，促进城乡经济融合发展，增加村集体、村民收入等工作；负责指导农民合作经济组织建设发展等工作；负责民政、社会保障、文化旅游、科技教育、卫生健康和人口与计划生育、残联等社会事务管理工作；负责统计、审计、科技工业、市场监管等工作；负责统筹村乡建设管理，推进基础设施、公共设施建设；负责乡村振兴、农村社会事业、乡村治理；协助做好辖区内自然资源规划、开发利用和保护等工作；协助做好开发建设项目的征地、拆迁、安置工作；负责农村宅基地管理，承担农村建房质量管理职责；负责推动辖区内生态文明建设，贯彻执行国家关于生态环境保护工作的方针政策和决策部署并监督实施，依照权限开展辖区内环境监察和生态环境保护行政执法工作。</w:t>
      </w:r>
    </w:p>
    <w:p>
      <w:pPr>
        <w:widowControl/>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平安法治和应急管理办公室。负责维护辖区内社会秩序稳定，做好社会治安、综合治理、公共安全风险防控工作，协调民事纠纷调解处理和社区矫正工作；负责退役军人、国防动员教育、民兵预备役等工作；负责安全生产监管、防汛抗旱、减灾、抗震救灾、森林防火、交通运输、应急管理、禁毒等工作；负责辖区内消防安全等工作；负责信访稳定工作，接待来访群众，协调处理群众上访事项，办理群众来信，承办、督办、交办重要信访事项等工作。</w:t>
      </w:r>
    </w:p>
    <w:p>
      <w:pPr>
        <w:widowControl/>
        <w:ind w:left="0" w:leftChars="0"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人大、纪检监察、人武部和群众团体等组织按有关规定设置。</w:t>
      </w:r>
    </w:p>
    <w:p>
      <w:pPr>
        <w:widowControl/>
        <w:ind w:left="0" w:leftChars="0"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本年度年末实有机构人员总数为3</w:t>
      </w:r>
      <w:r>
        <w:rPr>
          <w:rFonts w:hint="eastAsia" w:ascii="仿宋" w:hAnsi="仿宋" w:eastAsia="仿宋" w:cs="仿宋"/>
          <w:color w:val="000000"/>
          <w:kern w:val="0"/>
          <w:sz w:val="30"/>
          <w:szCs w:val="30"/>
          <w:lang w:val="en-US" w:eastAsia="zh-CN"/>
        </w:rPr>
        <w:t>7</w:t>
      </w:r>
      <w:r>
        <w:rPr>
          <w:rFonts w:ascii="仿宋" w:hAnsi="仿宋" w:eastAsia="仿宋" w:cs="仿宋"/>
          <w:color w:val="000000"/>
          <w:kern w:val="0"/>
          <w:sz w:val="30"/>
          <w:szCs w:val="30"/>
        </w:rPr>
        <w:t>人，行政编制1</w:t>
      </w:r>
      <w:r>
        <w:rPr>
          <w:rFonts w:hint="eastAsia" w:ascii="仿宋" w:hAnsi="仿宋" w:eastAsia="仿宋" w:cs="仿宋"/>
          <w:color w:val="000000"/>
          <w:kern w:val="0"/>
          <w:sz w:val="30"/>
          <w:szCs w:val="30"/>
          <w:lang w:val="en-US" w:eastAsia="zh-CN"/>
        </w:rPr>
        <w:t>6</w:t>
      </w:r>
      <w:r>
        <w:rPr>
          <w:rFonts w:ascii="仿宋" w:hAnsi="仿宋" w:eastAsia="仿宋" w:cs="仿宋"/>
          <w:color w:val="000000"/>
          <w:kern w:val="0"/>
          <w:sz w:val="30"/>
          <w:szCs w:val="30"/>
        </w:rPr>
        <w:t>人，事业人员</w:t>
      </w:r>
      <w:r>
        <w:rPr>
          <w:rFonts w:hint="eastAsia" w:ascii="仿宋" w:hAnsi="仿宋" w:eastAsia="仿宋" w:cs="仿宋"/>
          <w:color w:val="000000"/>
          <w:kern w:val="0"/>
          <w:sz w:val="30"/>
          <w:szCs w:val="30"/>
          <w:lang w:val="en-US" w:eastAsia="zh-CN"/>
        </w:rPr>
        <w:t>21</w:t>
      </w:r>
      <w:r>
        <w:rPr>
          <w:rFonts w:ascii="仿宋" w:hAnsi="仿宋" w:eastAsia="仿宋" w:cs="仿宋"/>
          <w:color w:val="000000"/>
          <w:kern w:val="0"/>
          <w:sz w:val="30"/>
          <w:szCs w:val="30"/>
        </w:rPr>
        <w:t>人。</w:t>
      </w:r>
    </w:p>
    <w:p>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3、单位年度整体支出绩效目标，项目支出绩效目标</w:t>
      </w:r>
    </w:p>
    <w:p>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（1）部门年度整体支出绩效目标</w:t>
      </w:r>
    </w:p>
    <w:p>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认真贯彻执行党的基本路线、方针政策和上级组织的决议、指示、命令；对本乡的重大问题进行决策，研究制定全镇经济、社会和文化发展规划。</w:t>
      </w:r>
    </w:p>
    <w:p>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（2）项目支出绩效目标</w:t>
      </w:r>
    </w:p>
    <w:p>
      <w:pPr>
        <w:widowControl/>
        <w:ind w:firstLine="600" w:firstLineChars="200"/>
        <w:jc w:val="left"/>
        <w:rPr>
          <w:rFonts w:hint="default" w:ascii="仿宋" w:hAnsi="仿宋" w:eastAsia="仿宋" w:cs="仿宋"/>
          <w:color w:val="000000"/>
          <w:kern w:val="0"/>
          <w:sz w:val="30"/>
          <w:szCs w:val="30"/>
        </w:rPr>
      </w:pPr>
      <w:r>
        <w:rPr>
          <w:rFonts w:ascii="仿宋" w:hAnsi="仿宋" w:eastAsia="仿宋" w:cs="仿宋"/>
          <w:color w:val="000000"/>
          <w:kern w:val="0"/>
          <w:sz w:val="30"/>
          <w:szCs w:val="30"/>
        </w:rPr>
        <w:t>保障乡政府的基本运转，不断提升上梧江瑶族乡人民政府的服务水平。</w:t>
      </w:r>
    </w:p>
    <w:p>
      <w:pPr>
        <w:pStyle w:val="11"/>
        <w:spacing w:line="570" w:lineRule="exact"/>
        <w:ind w:firstLine="640"/>
        <w:outlineLvl w:val="0"/>
        <w:rPr>
          <w:rFonts w:ascii="Times New Roman" w:hAnsi="Times New Roman" w:eastAsia="黑体"/>
          <w:sz w:val="32"/>
        </w:rPr>
      </w:pPr>
      <w:r>
        <w:rPr>
          <w:rFonts w:hint="eastAsia" w:ascii="Times New Roman" w:hAnsi="Times New Roman" w:eastAsia="黑体"/>
          <w:sz w:val="32"/>
        </w:rPr>
        <w:t>二、一般公共预算支出情况</w:t>
      </w:r>
    </w:p>
    <w:p>
      <w:pPr>
        <w:pStyle w:val="11"/>
        <w:spacing w:line="570" w:lineRule="exact"/>
        <w:ind w:firstLine="600"/>
        <w:outlineLvl w:val="1"/>
        <w:rPr>
          <w:rFonts w:ascii="仿宋" w:hAnsi="仿宋" w:eastAsia="仿宋" w:cs="仿宋"/>
          <w:sz w:val="30"/>
          <w:szCs w:val="30"/>
        </w:rPr>
      </w:pPr>
      <w:r>
        <w:rPr>
          <w:rFonts w:hint="eastAsia" w:ascii="仿宋" w:hAnsi="仿宋" w:eastAsia="仿宋" w:cs="仿宋"/>
          <w:sz w:val="30"/>
          <w:szCs w:val="30"/>
        </w:rPr>
        <w:t>（一）基本支出情况</w:t>
      </w:r>
    </w:p>
    <w:p>
      <w:pPr>
        <w:widowControl/>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基本支出：539.67万元，占总支出的比重为35.37%。一般公共预算财政拨款基本支出中人员经费445.02元，主要包括：基本工资117.86万元、津贴补贴79.21万元、奖金65.6万元、绩效工资44.39万元、机关事业单位基本养老保险39.04万元、职工基本医疗保险缴费21.15万元、住房公积金29.14万元；一般公共预算财政拨款基本支出中公用经费37.92万元，主要包括：办公费3.25万元、印刷费1万元、水费0.5万元、电费3.1万元、邮电费1.02万元、差旅费3.1万元、会议费1.88万元、公务接待费12.53万元、福利费4万元、公务用车运行维护费3.8万元、其他交通费用2万元、其他商品和服务支出1.73万元。</w:t>
      </w:r>
    </w:p>
    <w:p>
      <w:pPr>
        <w:pStyle w:val="11"/>
        <w:numPr>
          <w:ilvl w:val="0"/>
          <w:numId w:val="2"/>
        </w:numPr>
        <w:spacing w:line="570" w:lineRule="exact"/>
        <w:ind w:firstLine="600"/>
        <w:outlineLvl w:val="1"/>
        <w:rPr>
          <w:rFonts w:ascii="仿宋" w:hAnsi="仿宋" w:eastAsia="仿宋" w:cs="仿宋"/>
          <w:sz w:val="30"/>
          <w:szCs w:val="30"/>
        </w:rPr>
      </w:pPr>
      <w:r>
        <w:rPr>
          <w:rFonts w:hint="eastAsia" w:ascii="仿宋" w:hAnsi="仿宋" w:eastAsia="仿宋" w:cs="仿宋"/>
          <w:sz w:val="30"/>
          <w:szCs w:val="30"/>
        </w:rPr>
        <w:t>项目支出情况</w:t>
      </w:r>
    </w:p>
    <w:p>
      <w:pPr>
        <w:spacing w:line="570" w:lineRule="exact"/>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项目支出：986.2万元，占总支出的比重为64.63%，是指单位为完成特定行政工作任务或事业发展目标而发生的支出，主要包括：上梧江瑶族乡各项单位业务经费、耕地抛荒整治及土地复垦项目、上梧江瑶族乡人居环境整治、公益性岗位补贴、上梧江瑶族乡政府办公楼及宿舍维修工程、水利移民项目、乡村振兴改厕项目、乡村振兴衔接项目、村级运转经费及村级组织服务群众专项经费等项目支出。</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三、政府性基金预算支出情况。</w:t>
      </w:r>
    </w:p>
    <w:p>
      <w:pPr>
        <w:pStyle w:val="11"/>
        <w:spacing w:line="570" w:lineRule="exact"/>
        <w:ind w:firstLine="600"/>
        <w:jc w:val="left"/>
        <w:outlineLvl w:val="0"/>
        <w:rPr>
          <w:rFonts w:ascii="仿宋" w:hAnsi="仿宋" w:eastAsia="仿宋" w:cs="仿宋"/>
          <w:color w:val="000000"/>
          <w:kern w:val="2"/>
          <w:sz w:val="30"/>
          <w:szCs w:val="30"/>
        </w:rPr>
      </w:pPr>
      <w:r>
        <w:rPr>
          <w:rFonts w:hint="eastAsia" w:ascii="仿宋" w:hAnsi="仿宋" w:eastAsia="仿宋" w:cs="仿宋"/>
          <w:color w:val="000000"/>
          <w:kern w:val="2"/>
          <w:sz w:val="30"/>
          <w:szCs w:val="30"/>
        </w:rPr>
        <w:t>本年度政府性基金预算支出135.93万元，主要用于</w:t>
      </w:r>
      <w:r>
        <w:rPr>
          <w:rFonts w:ascii="仿宋" w:hAnsi="仿宋" w:eastAsia="仿宋" w:cs="仿宋"/>
          <w:color w:val="000000"/>
          <w:kern w:val="2"/>
          <w:sz w:val="30"/>
          <w:szCs w:val="30"/>
        </w:rPr>
        <w:t>建设工程合同环节缴纳印花税资金</w:t>
      </w:r>
      <w:r>
        <w:rPr>
          <w:rFonts w:hint="eastAsia" w:ascii="仿宋" w:hAnsi="仿宋" w:eastAsia="仿宋" w:cs="仿宋"/>
          <w:color w:val="000000"/>
          <w:kern w:val="2"/>
          <w:sz w:val="30"/>
          <w:szCs w:val="30"/>
        </w:rPr>
        <w:t>、</w:t>
      </w:r>
      <w:r>
        <w:rPr>
          <w:rFonts w:ascii="仿宋" w:hAnsi="仿宋" w:eastAsia="仿宋" w:cs="仿宋"/>
          <w:color w:val="000000"/>
          <w:kern w:val="2"/>
          <w:sz w:val="30"/>
          <w:szCs w:val="30"/>
        </w:rPr>
        <w:t>双牌县上梧江瑶族乡道路水毁修建及河道清理工程</w:t>
      </w:r>
      <w:r>
        <w:rPr>
          <w:rFonts w:hint="eastAsia" w:ascii="仿宋" w:hAnsi="仿宋" w:eastAsia="仿宋" w:cs="仿宋"/>
          <w:color w:val="000000"/>
          <w:kern w:val="2"/>
          <w:sz w:val="30"/>
          <w:szCs w:val="30"/>
        </w:rPr>
        <w:t>、</w:t>
      </w:r>
      <w:r>
        <w:rPr>
          <w:rFonts w:ascii="仿宋" w:hAnsi="仿宋" w:eastAsia="仿宋" w:cs="仿宋"/>
          <w:color w:val="000000"/>
          <w:kern w:val="2"/>
          <w:sz w:val="30"/>
          <w:szCs w:val="30"/>
        </w:rPr>
        <w:t>林江村养老服务设施</w:t>
      </w:r>
      <w:r>
        <w:rPr>
          <w:rFonts w:hint="eastAsia" w:ascii="仿宋" w:hAnsi="仿宋" w:eastAsia="仿宋" w:cs="仿宋"/>
          <w:color w:val="000000"/>
          <w:kern w:val="2"/>
          <w:sz w:val="30"/>
          <w:szCs w:val="30"/>
        </w:rPr>
        <w:t>。</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四、国有资本经营预算支出情况。</w:t>
      </w:r>
    </w:p>
    <w:p>
      <w:pPr>
        <w:pStyle w:val="11"/>
        <w:spacing w:line="570" w:lineRule="exact"/>
        <w:ind w:firstLine="600"/>
        <w:jc w:val="left"/>
        <w:outlineLvl w:val="0"/>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我单位无国有资本经营预算支出情况。</w:t>
      </w:r>
    </w:p>
    <w:p>
      <w:pPr>
        <w:pStyle w:val="11"/>
        <w:numPr>
          <w:ilvl w:val="0"/>
          <w:numId w:val="3"/>
        </w:numPr>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社会保险基金预算支出情况。</w:t>
      </w:r>
    </w:p>
    <w:p>
      <w:pPr>
        <w:pStyle w:val="11"/>
        <w:spacing w:line="570" w:lineRule="exact"/>
        <w:ind w:firstLine="600"/>
        <w:jc w:val="left"/>
        <w:outlineLvl w:val="0"/>
        <w:rPr>
          <w:rFonts w:ascii="Times New Roman" w:hAnsi="Times New Roman" w:eastAsia="仿宋_GB2312"/>
          <w:color w:val="000000"/>
          <w:kern w:val="2"/>
          <w:sz w:val="30"/>
          <w:szCs w:val="30"/>
        </w:rPr>
      </w:pPr>
      <w:r>
        <w:rPr>
          <w:rFonts w:hint="eastAsia" w:ascii="Times New Roman" w:hAnsi="Times New Roman" w:eastAsia="仿宋_GB2312"/>
          <w:color w:val="000000"/>
          <w:kern w:val="2"/>
          <w:sz w:val="30"/>
          <w:szCs w:val="30"/>
        </w:rPr>
        <w:t>我单位无社会保险基金预算支出情况。</w:t>
      </w:r>
    </w:p>
    <w:p>
      <w:pPr>
        <w:spacing w:line="570" w:lineRule="exact"/>
        <w:ind w:firstLine="645"/>
        <w:jc w:val="left"/>
        <w:outlineLvl w:val="0"/>
        <w:rPr>
          <w:rFonts w:hint="default" w:eastAsia="黑体"/>
          <w:sz w:val="32"/>
        </w:rPr>
      </w:pPr>
      <w:r>
        <w:rPr>
          <w:rFonts w:eastAsia="黑体"/>
          <w:sz w:val="32"/>
        </w:rPr>
        <w:t>六、部门整体支出绩效情况</w:t>
      </w:r>
    </w:p>
    <w:p>
      <w:pPr>
        <w:spacing w:line="570" w:lineRule="exact"/>
        <w:ind w:firstLine="600" w:firstLineChars="200"/>
        <w:jc w:val="left"/>
        <w:rPr>
          <w:rFonts w:hint="default" w:eastAsia="仿宋_GB2312"/>
          <w:color w:val="000000"/>
          <w:sz w:val="30"/>
          <w:szCs w:val="30"/>
        </w:rPr>
      </w:pPr>
      <w:r>
        <w:rPr>
          <w:rFonts w:eastAsia="仿宋_GB2312"/>
          <w:color w:val="000000"/>
          <w:sz w:val="30"/>
          <w:szCs w:val="30"/>
        </w:rPr>
        <w:t>主要绩效如下：</w:t>
      </w:r>
    </w:p>
    <w:p>
      <w:pPr>
        <w:spacing w:line="570" w:lineRule="exact"/>
        <w:ind w:firstLine="600" w:firstLineChars="200"/>
        <w:jc w:val="left"/>
        <w:rPr>
          <w:rFonts w:hint="default" w:eastAsia="仿宋_GB2312"/>
          <w:color w:val="000000"/>
          <w:sz w:val="30"/>
          <w:szCs w:val="30"/>
        </w:rPr>
      </w:pPr>
      <w:r>
        <w:rPr>
          <w:rFonts w:eastAsia="仿宋_GB2312"/>
          <w:color w:val="000000"/>
          <w:sz w:val="30"/>
          <w:szCs w:val="30"/>
        </w:rPr>
        <w:t>1、从经济性情况分析看，预算资金覆盖各个需求方面，“三公”经费预算没有超过上年预算安排。2024年预算资金能保障单位正常运转需要，分配办法科学，考虑的因素必要合理，分配的结果合理，能基本保证人员经费支出和机构全年工作运转。</w:t>
      </w:r>
    </w:p>
    <w:p>
      <w:pPr>
        <w:spacing w:line="570" w:lineRule="exact"/>
        <w:ind w:firstLine="600" w:firstLineChars="200"/>
        <w:jc w:val="left"/>
        <w:rPr>
          <w:rFonts w:hint="default" w:eastAsia="仿宋_GB2312"/>
          <w:color w:val="000000"/>
          <w:sz w:val="30"/>
          <w:szCs w:val="30"/>
        </w:rPr>
      </w:pPr>
      <w:r>
        <w:rPr>
          <w:rFonts w:eastAsia="仿宋_GB2312"/>
          <w:color w:val="000000"/>
          <w:sz w:val="30"/>
          <w:szCs w:val="30"/>
        </w:rPr>
        <w:t>2、从效率性情况分析看，在各项工作费用支付中，尤其是干部职工的医疗保险、工伤保险、福利费、工会经费等人员经费支出能及时按进度保质保量完成。预算公用经费及村级办公经费基本拨付到位，预算完成率和预算控制率较好。</w:t>
      </w:r>
    </w:p>
    <w:p>
      <w:pPr>
        <w:spacing w:line="570" w:lineRule="exact"/>
        <w:ind w:firstLine="600" w:firstLineChars="200"/>
        <w:jc w:val="left"/>
        <w:rPr>
          <w:rFonts w:hint="default" w:eastAsia="仿宋_GB2312"/>
          <w:color w:val="000000"/>
          <w:sz w:val="30"/>
          <w:szCs w:val="30"/>
        </w:rPr>
      </w:pPr>
      <w:r>
        <w:rPr>
          <w:rFonts w:eastAsia="仿宋_GB2312"/>
          <w:color w:val="000000"/>
          <w:sz w:val="30"/>
          <w:szCs w:val="30"/>
        </w:rPr>
        <w:t>3、从有效性情况分析看，夯实基层力量，提高基层干部工作积极性，全面整合职能和资源，提升干部办事效率，优化服务质量；群众收入增加，幸福感提高。</w:t>
      </w:r>
    </w:p>
    <w:p>
      <w:pPr>
        <w:spacing w:line="570" w:lineRule="exact"/>
        <w:ind w:firstLine="600" w:firstLineChars="200"/>
        <w:jc w:val="left"/>
        <w:rPr>
          <w:rFonts w:hint="default" w:eastAsia="仿宋_GB2312"/>
          <w:color w:val="000000"/>
          <w:sz w:val="30"/>
          <w:szCs w:val="30"/>
        </w:rPr>
      </w:pPr>
      <w:r>
        <w:rPr>
          <w:rFonts w:eastAsia="仿宋_GB2312"/>
          <w:color w:val="000000"/>
          <w:sz w:val="30"/>
          <w:szCs w:val="30"/>
        </w:rPr>
        <w:t>4、从可持续性分析看，我乡地域面积较大，乡镇工作综合性弱，需加大人力、资金投入。</w:t>
      </w:r>
    </w:p>
    <w:p>
      <w:pPr>
        <w:pStyle w:val="11"/>
        <w:spacing w:line="570" w:lineRule="exact"/>
        <w:ind w:firstLine="640"/>
        <w:jc w:val="left"/>
        <w:outlineLvl w:val="0"/>
        <w:rPr>
          <w:rFonts w:ascii="Times New Roman" w:hAnsi="Times New Roman" w:eastAsia="黑体"/>
          <w:sz w:val="32"/>
        </w:rPr>
      </w:pPr>
      <w:r>
        <w:rPr>
          <w:rFonts w:hint="eastAsia" w:ascii="Times New Roman" w:hAnsi="Times New Roman" w:eastAsia="黑体"/>
          <w:sz w:val="32"/>
        </w:rPr>
        <w:t>七、存在的问题及原因分析</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1、预算执行率率有待提高。由于预算项目未实施或未及时报账导致年末预算资金未形成支出。</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2、专项资金少，资金压力大。针对我镇农村经济基础薄弱、资金压力大的现状，重点产业项目尚需进一步的加强。</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3、预算编制不够明确和细化，预算编制的合理性需要提高，预算执行力度还要进一步加强。资金使用效益有待进一步提高，绩效目标设立不够明确、细化和量化。</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4、人员严重缺编与工作任务繁重矛盾日益突出。</w:t>
      </w:r>
    </w:p>
    <w:p>
      <w:pPr>
        <w:spacing w:line="570" w:lineRule="exact"/>
        <w:ind w:firstLine="600" w:firstLineChars="200"/>
        <w:jc w:val="left"/>
        <w:rPr>
          <w:rFonts w:hint="default" w:ascii="仿宋" w:hAnsi="仿宋" w:eastAsia="仿宋" w:cs="仿宋"/>
          <w:sz w:val="30"/>
          <w:szCs w:val="30"/>
        </w:rPr>
      </w:pPr>
      <w:r>
        <w:rPr>
          <w:rFonts w:ascii="仿宋" w:hAnsi="仿宋" w:eastAsia="仿宋" w:cs="仿宋"/>
          <w:sz w:val="30"/>
          <w:szCs w:val="30"/>
        </w:rPr>
        <w:t>八、下一步改进措施</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1、细化预算编制工作，认真做好预算的编制。进一步加强内设机构的预算管理意识，严格按照预算编制的相关制度和要求进行预算编制。</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2、加强财务管理，严格财务审核。加强单位财务管理，健全单位财务管理制度体系，规范单位财务行为。在费用报账支付时，按照预算规定的费用项目和用途进行资金使用审核、财务严格核算，杜绝超支现象的发生。</w:t>
      </w:r>
    </w:p>
    <w:p>
      <w:pPr>
        <w:spacing w:line="570" w:lineRule="exact"/>
        <w:ind w:firstLine="600" w:firstLineChars="200"/>
        <w:jc w:val="left"/>
        <w:rPr>
          <w:rFonts w:hint="default" w:ascii="仿宋" w:hAnsi="仿宋" w:eastAsia="仿宋" w:cs="仿宋"/>
          <w:color w:val="000000"/>
          <w:sz w:val="30"/>
          <w:szCs w:val="30"/>
        </w:rPr>
      </w:pPr>
      <w:r>
        <w:rPr>
          <w:rFonts w:ascii="仿宋" w:hAnsi="仿宋" w:eastAsia="仿宋" w:cs="仿宋"/>
          <w:color w:val="000000"/>
          <w:sz w:val="30"/>
          <w:szCs w:val="30"/>
        </w:rPr>
        <w:t>3、严格编制政府采购年初预算和计划，规范各类资产的购置审批制度、资产采购制度、使用管理制度、资产处置和报废审批制度、资产管理岗位职责制度等。严格控制“三公”经费的规模和比例，把关“三公”经费支出的审核、审批，进一步细化“三公”经费的管理，合理压缩“三公”经费支出。</w:t>
      </w:r>
    </w:p>
    <w:p>
      <w:pPr>
        <w:spacing w:line="570" w:lineRule="exact"/>
        <w:ind w:firstLine="600" w:firstLineChars="200"/>
        <w:jc w:val="left"/>
        <w:rPr>
          <w:rFonts w:hint="default" w:ascii="仿宋" w:hAnsi="仿宋" w:eastAsia="仿宋" w:cs="仿宋"/>
          <w:sz w:val="30"/>
          <w:szCs w:val="30"/>
        </w:rPr>
      </w:pPr>
      <w:r>
        <w:rPr>
          <w:rFonts w:ascii="仿宋" w:hAnsi="仿宋" w:eastAsia="仿宋" w:cs="仿宋"/>
          <w:color w:val="000000"/>
          <w:sz w:val="30"/>
          <w:szCs w:val="30"/>
        </w:rPr>
        <w:t>4、对相关人员加强培训，特别是针对《预算法》、《行政事业单位会计制度》等学习培训，规范部门预算收支核算，切实提高部门预算收支管理水平。</w:t>
      </w:r>
    </w:p>
    <w:p>
      <w:pPr>
        <w:spacing w:line="570" w:lineRule="exact"/>
        <w:ind w:firstLine="645"/>
        <w:jc w:val="left"/>
        <w:outlineLvl w:val="0"/>
        <w:rPr>
          <w:rFonts w:hint="default" w:eastAsia="黑体"/>
          <w:sz w:val="32"/>
        </w:rPr>
      </w:pPr>
      <w:r>
        <w:rPr>
          <w:rFonts w:eastAsia="黑体"/>
          <w:sz w:val="32"/>
        </w:rPr>
        <w:t>九、部门整体支出绩效自评结果拟应用和公开情况</w:t>
      </w:r>
    </w:p>
    <w:p>
      <w:pPr>
        <w:spacing w:line="560" w:lineRule="exact"/>
        <w:ind w:firstLine="600" w:firstLineChars="200"/>
        <w:rPr>
          <w:rFonts w:hint="default" w:ascii="仿宋" w:hAnsi="仿宋" w:eastAsia="仿宋" w:cs="仿宋"/>
          <w:sz w:val="30"/>
          <w:szCs w:val="30"/>
        </w:rPr>
      </w:pPr>
      <w:r>
        <w:rPr>
          <w:rFonts w:ascii="仿宋" w:hAnsi="仿宋" w:eastAsia="仿宋" w:cs="仿宋"/>
          <w:color w:val="000000"/>
          <w:kern w:val="0"/>
          <w:sz w:val="30"/>
          <w:szCs w:val="30"/>
        </w:rPr>
        <w:t>按照政府信息公开的有关要求，逐步公开财政支出项目预算及绩效评价结果，加强社会公众对财政资金使用效益的监督。</w:t>
      </w:r>
    </w:p>
    <w:p>
      <w:pPr>
        <w:spacing w:line="570" w:lineRule="exact"/>
        <w:ind w:firstLine="645"/>
        <w:jc w:val="left"/>
        <w:rPr>
          <w:rFonts w:hint="default" w:eastAsia="黑体"/>
          <w:sz w:val="32"/>
        </w:rPr>
      </w:pPr>
      <w:r>
        <w:rPr>
          <w:rFonts w:eastAsia="黑体"/>
          <w:sz w:val="32"/>
        </w:rPr>
        <w:t>其他需要说明的情况</w:t>
      </w:r>
    </w:p>
    <w:p>
      <w:pPr>
        <w:spacing w:line="570" w:lineRule="exact"/>
        <w:ind w:firstLine="645"/>
        <w:jc w:val="left"/>
        <w:rPr>
          <w:rFonts w:ascii="仿宋" w:hAnsi="仿宋" w:eastAsia="仿宋" w:cs="仿宋"/>
          <w:color w:val="000000"/>
          <w:kern w:val="0"/>
          <w:sz w:val="30"/>
          <w:szCs w:val="30"/>
        </w:rPr>
      </w:pPr>
      <w:r>
        <w:rPr>
          <w:rFonts w:ascii="仿宋" w:hAnsi="仿宋" w:eastAsia="仿宋" w:cs="仿宋"/>
          <w:color w:val="000000"/>
          <w:kern w:val="0"/>
          <w:sz w:val="30"/>
          <w:szCs w:val="30"/>
        </w:rPr>
        <w:t>无。</w:t>
      </w:r>
    </w:p>
    <w:p>
      <w:pPr>
        <w:spacing w:line="570" w:lineRule="exact"/>
        <w:ind w:firstLine="645"/>
        <w:jc w:val="left"/>
        <w:rPr>
          <w:rFonts w:ascii="仿宋" w:hAnsi="仿宋" w:eastAsia="仿宋" w:cs="仿宋"/>
          <w:color w:val="000000"/>
          <w:kern w:val="0"/>
          <w:sz w:val="30"/>
          <w:szCs w:val="30"/>
        </w:rPr>
      </w:pPr>
    </w:p>
    <w:p>
      <w:pPr>
        <w:spacing w:line="570" w:lineRule="exact"/>
        <w:ind w:firstLine="645"/>
        <w:jc w:val="left"/>
        <w:rPr>
          <w:rFonts w:ascii="仿宋" w:hAnsi="仿宋" w:eastAsia="仿宋" w:cs="仿宋"/>
          <w:color w:val="000000"/>
          <w:kern w:val="0"/>
          <w:sz w:val="30"/>
          <w:szCs w:val="30"/>
        </w:rPr>
      </w:pPr>
    </w:p>
    <w:p>
      <w:pPr>
        <w:spacing w:line="570" w:lineRule="exact"/>
        <w:ind w:firstLine="645"/>
        <w:jc w:val="left"/>
        <w:rPr>
          <w:rFonts w:ascii="仿宋" w:hAnsi="仿宋" w:eastAsia="仿宋" w:cs="仿宋"/>
          <w:color w:val="000000"/>
          <w:kern w:val="0"/>
          <w:sz w:val="30"/>
          <w:szCs w:val="30"/>
        </w:rPr>
      </w:pPr>
    </w:p>
    <w:p>
      <w:pPr>
        <w:rPr>
          <w:rFonts w:hint="default" w:ascii="黑体" w:hAnsi="黑体" w:eastAsia="黑体" w:cs="黑体"/>
          <w:sz w:val="32"/>
          <w:szCs w:val="32"/>
        </w:rPr>
      </w:pPr>
      <w:r>
        <w:rPr>
          <w:rFonts w:ascii="黑体" w:hAnsi="黑体" w:eastAsia="黑体" w:cs="黑体"/>
          <w:sz w:val="32"/>
          <w:szCs w:val="32"/>
        </w:rPr>
        <w:t>附件2</w:t>
      </w:r>
    </w:p>
    <w:p>
      <w:pPr>
        <w:spacing w:line="440" w:lineRule="exact"/>
        <w:rPr>
          <w:rFonts w:hint="default" w:ascii="黑体" w:hAnsi="黑体" w:eastAsia="黑体" w:cs="黑体"/>
          <w:sz w:val="32"/>
          <w:szCs w:val="32"/>
        </w:rPr>
      </w:pP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2024年度部门整体支出绩效评价基础数据表</w:t>
      </w:r>
    </w:p>
    <w:tbl>
      <w:tblPr>
        <w:tblStyle w:val="8"/>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71.15</w:t>
            </w: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2023年决算数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2024年决算数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437.25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425.77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539.67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38.2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38.3</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b/>
                <w:sz w:val="24"/>
              </w:rPr>
            </w:pPr>
            <w:r>
              <w:rPr>
                <w:rFonts w:asciiTheme="minorEastAsia" w:hAnsiTheme="minorEastAsia" w:eastAsiaTheme="minorEastAsia" w:cstheme="minorEastAsia"/>
                <w:b/>
                <w:sz w:val="24"/>
              </w:rPr>
              <w:t>37.92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31.92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29.34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4.78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35.64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35.67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35.64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22.87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18.87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3.9</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12.77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12.53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ind w:firstLine="960" w:firstLineChars="400"/>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1021.44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783.81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eastAsia="zh-CN"/>
              </w:rPr>
              <w:t>项目支出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1021.44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783.81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986.2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44.87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405</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499.37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437.25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539.67</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539.67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楼堂馆所控制情况</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（2023年完工项目）</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批复规模</w:t>
            </w:r>
          </w:p>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784"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228"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62"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压缩一般性支出　</w:t>
            </w:r>
          </w:p>
        </w:tc>
      </w:tr>
    </w:tbl>
    <w:p>
      <w:pPr>
        <w:spacing w:line="100" w:lineRule="exact"/>
        <w:jc w:val="left"/>
        <w:rPr>
          <w:rFonts w:hint="default" w:asciiTheme="minorEastAsia" w:hAnsiTheme="minorEastAsia" w:eastAsiaTheme="minorEastAsia" w:cstheme="minorEastAsia"/>
          <w:sz w:val="24"/>
        </w:rPr>
      </w:pPr>
    </w:p>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说明：“项目支出”需要填报基本支出以外的所有项目支出情况，“公用经费”填报基本支出中的一般商品和服务支出。</w:t>
      </w:r>
    </w:p>
    <w:p>
      <w:pPr>
        <w:spacing w:line="100" w:lineRule="exact"/>
        <w:jc w:val="left"/>
        <w:rPr>
          <w:rFonts w:hint="default" w:asciiTheme="minorEastAsia" w:hAnsiTheme="minorEastAsia" w:eastAsiaTheme="minorEastAsia" w:cstheme="minorEastAsia"/>
          <w:sz w:val="24"/>
        </w:rPr>
      </w:pPr>
    </w:p>
    <w:p>
      <w:pPr>
        <w:jc w:val="left"/>
        <w:rPr>
          <w:rFonts w:hint="eastAsia" w:eastAsiaTheme="minorEastAsia"/>
          <w:sz w:val="22"/>
          <w:lang w:eastAsia="zh-CN"/>
        </w:rPr>
        <w:sectPr>
          <w:headerReference r:id="rId3" w:type="default"/>
          <w:footerReference r:id="rId4" w:type="default"/>
          <w:footerReference r:id="rId5" w:type="even"/>
          <w:pgSz w:w="11905" w:h="16837"/>
          <w:pgMar w:top="1440" w:right="1701" w:bottom="1440" w:left="1701" w:header="851" w:footer="1474" w:gutter="0"/>
          <w:pgNumType w:fmt="numberInDash" w:start="1"/>
          <w:cols w:space="0" w:num="1"/>
          <w:docGrid w:type="lines" w:linePitch="636" w:charSpace="0"/>
        </w:sectPr>
      </w:pPr>
      <w:r>
        <w:rPr>
          <w:rFonts w:asciiTheme="minorEastAsia" w:hAnsiTheme="minorEastAsia" w:eastAsiaTheme="minorEastAsia" w:cstheme="minorEastAsia"/>
          <w:sz w:val="24"/>
        </w:rPr>
        <w:t>填表人：欧阳梦婷 填报日期：2025.6.13  联系电话：7830001 单位负责人签字</w:t>
      </w:r>
      <w:r>
        <w:rPr>
          <w:rFonts w:hint="eastAsia" w:asciiTheme="minorEastAsia" w:hAnsiTheme="minorEastAsia" w:eastAsiaTheme="minorEastAsia" w:cstheme="minorEastAsia"/>
          <w:sz w:val="24"/>
          <w:lang w:eastAsia="zh-CN"/>
        </w:rPr>
        <w:t>：</w:t>
      </w:r>
    </w:p>
    <w:p>
      <w:pPr>
        <w:spacing w:line="440" w:lineRule="exact"/>
        <w:jc w:val="left"/>
        <w:rPr>
          <w:rFonts w:hint="default" w:eastAsia="黑体"/>
          <w:sz w:val="32"/>
        </w:rPr>
      </w:pPr>
      <w:r>
        <w:rPr>
          <w:rFonts w:ascii="黑体" w:hAnsi="黑体" w:eastAsia="黑体" w:cs="黑体"/>
          <w:sz w:val="32"/>
          <w:szCs w:val="32"/>
        </w:rPr>
        <w:t>附件3</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2024年度部门整体支出绩效自评表</w:t>
      </w:r>
    </w:p>
    <w:tbl>
      <w:tblPr>
        <w:tblStyle w:val="8"/>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县级预算部门名称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双牌县上梧江瑶族乡人民政府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年度预</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算申请</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1209.57</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1525.86</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1525.86</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126.15%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xml:space="preserve">  其中：  一般公共预算：593.74</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其中：基本支出：539.67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960" w:firstLineChars="4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政府性基金拨款：135.93</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项目支出：986.2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ind w:firstLine="1680" w:firstLineChars="7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其他资金：796.2</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2"/>
              </w:rPr>
              <w:t>认真贯彻执行党的基本路线、方针政策和上级组织的决议、指示、命令；对本镇的重大问题进行决策，研究制定全乡经济、社会和文化发展规划。</w:t>
            </w:r>
            <w:r>
              <w:rPr>
                <w:rFonts w:asciiTheme="minorEastAsia" w:hAnsiTheme="minorEastAsia" w:eastAsiaTheme="minorEastAsia" w:cstheme="minorEastAsia"/>
                <w:color w:val="000000"/>
                <w:sz w:val="24"/>
              </w:rPr>
              <w:t>　　</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r>
              <w:rPr>
                <w:rFonts w:asciiTheme="minorEastAsia" w:hAnsiTheme="minorEastAsia" w:eastAsiaTheme="minorEastAsia" w:cstheme="minorEastAsia"/>
                <w:color w:val="000000"/>
                <w:sz w:val="22"/>
              </w:rPr>
              <w:t>认真贯彻执行党的基本路线、方针政策和上级组织的决议、指示、命令；对本镇的重大问题进行决策，研究制定全乡经济、社会和文化发展规划。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数量指标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单位考核人数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37人</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lang w:eastAsia="zh-CN"/>
              </w:rPr>
            </w:pPr>
            <w:r>
              <w:rPr>
                <w:rFonts w:hint="eastAsia" w:asciiTheme="minorEastAsia" w:hAnsiTheme="minorEastAsia" w:eastAsiaTheme="minorEastAsia" w:cstheme="minorEastAsia"/>
                <w:color w:val="000000"/>
                <w:sz w:val="24"/>
                <w:szCs w:val="24"/>
                <w:lang w:val="en-US" w:eastAsia="zh-CN"/>
              </w:rPr>
              <w:t>38人</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质量指标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资金使用合格率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时效指标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完成支出及时率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2024年12月31日之前完成</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2024年12月31日之前已完成</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p>
            <w:pPr>
              <w:spacing w:beforeLines="0" w:afterLines="0" w:line="240" w:lineRule="exact"/>
              <w:jc w:val="center"/>
              <w:rPr>
                <w:rFonts w:hint="eastAsia" w:asciiTheme="minorEastAsia" w:hAnsiTheme="minorEastAsia" w:eastAsiaTheme="minorEastAsia" w:cstheme="minorEastAsia"/>
                <w:color w:val="000000"/>
                <w:sz w:val="24"/>
                <w:szCs w:val="24"/>
              </w:rPr>
            </w:pPr>
          </w:p>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经济效益指标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促进本乡经济发展</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效果显著</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效果显著</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社会效益指标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经济增长、物价稳定、公平分配</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有效保障</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有效保障</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生态效益指标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改善环境、保护环境意识提高</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有效保障</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有效保障</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7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可持续影响指标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可持续影响情况</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效果明显</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效果明显</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成本指标</w:t>
            </w:r>
          </w:p>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（30分）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经济成本指标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基本</w:t>
            </w:r>
            <w:r>
              <w:rPr>
                <w:rFonts w:hint="eastAsia" w:asciiTheme="minorEastAsia" w:hAnsiTheme="minorEastAsia" w:eastAsiaTheme="minorEastAsia" w:cstheme="minorEastAsia"/>
                <w:color w:val="000000"/>
                <w:sz w:val="24"/>
                <w:szCs w:val="24"/>
              </w:rPr>
              <w:t>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b w:val="0"/>
                <w:bCs w:val="0"/>
                <w:color w:val="000000"/>
                <w:sz w:val="24"/>
                <w:szCs w:val="24"/>
                <w:lang w:eastAsia="zh-CN"/>
              </w:rPr>
              <w:t>≤</w:t>
            </w:r>
            <w:r>
              <w:rPr>
                <w:rFonts w:hint="eastAsia" w:asciiTheme="minorEastAsia" w:hAnsiTheme="minorEastAsia" w:eastAsiaTheme="minorEastAsia" w:cstheme="minorEastAsia"/>
                <w:b w:val="0"/>
                <w:bCs w:val="0"/>
                <w:sz w:val="24"/>
                <w:szCs w:val="24"/>
                <w:lang w:val="en-US" w:eastAsia="zh-CN"/>
              </w:rPr>
              <w:t>425.77万元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539.67万元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4.5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项目</w:t>
            </w:r>
            <w:r>
              <w:rPr>
                <w:rFonts w:hint="eastAsia" w:asciiTheme="minorEastAsia" w:hAnsiTheme="minorEastAsia" w:eastAsiaTheme="minorEastAsia" w:cstheme="minorEastAsia"/>
                <w:color w:val="000000"/>
                <w:sz w:val="24"/>
                <w:szCs w:val="24"/>
              </w:rPr>
              <w:t>支出</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lang w:val="en-US" w:eastAsia="zh-CN"/>
              </w:rPr>
              <w:t>783.81万元</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986.2万元</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5</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55"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社会成本指标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社会成本节约率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4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生态环境成本指标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生态环境成本节约率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c>
          <w:tcPr>
            <w:tcW w:w="94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满意度指标</w:t>
            </w:r>
          </w:p>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（10分）</w:t>
            </w:r>
          </w:p>
        </w:tc>
        <w:tc>
          <w:tcPr>
            <w:tcW w:w="9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服务对象满意度指标</w:t>
            </w:r>
          </w:p>
        </w:tc>
        <w:tc>
          <w:tcPr>
            <w:tcW w:w="107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群众满意度</w:t>
            </w:r>
          </w:p>
        </w:tc>
        <w:tc>
          <w:tcPr>
            <w:tcW w:w="1146"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20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0" w:hRule="atLeast"/>
          <w:jc w:val="center"/>
        </w:trPr>
        <w:tc>
          <w:tcPr>
            <w:tcW w:w="6266" w:type="dxa"/>
            <w:gridSpan w:val="7"/>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szCs w:val="24"/>
                <w:lang w:val="en-US" w:eastAsia="zh-CN"/>
              </w:rPr>
              <w:t>94.5</w:t>
            </w:r>
          </w:p>
        </w:tc>
        <w:tc>
          <w:tcPr>
            <w:tcW w:w="1443"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default" w:asciiTheme="minorEastAsia" w:hAnsiTheme="minorEastAsia" w:eastAsiaTheme="minorEastAsia" w:cstheme="minorEastAsia"/>
                <w:color w:val="000000"/>
                <w:sz w:val="24"/>
              </w:rPr>
            </w:pPr>
          </w:p>
        </w:tc>
      </w:tr>
    </w:tbl>
    <w:p>
      <w:pPr>
        <w:spacing w:line="570" w:lineRule="exact"/>
        <w:jc w:val="left"/>
        <w:rPr>
          <w:rFonts w:eastAsia="仿宋_GB2312"/>
          <w:sz w:val="22"/>
        </w:rPr>
      </w:pPr>
      <w:r>
        <w:rPr>
          <w:rFonts w:eastAsia="仿宋_GB2312"/>
          <w:sz w:val="22"/>
        </w:rPr>
        <w:t>填表人：欧阳梦婷  填报日期：2024.6.12   联系电话：7830001  单位负责人签字：</w:t>
      </w:r>
    </w:p>
    <w:p>
      <w:pPr>
        <w:pStyle w:val="2"/>
        <w:rPr>
          <w:rFonts w:eastAsia="仿宋_GB2312"/>
          <w:sz w:val="22"/>
        </w:rPr>
      </w:pPr>
    </w:p>
    <w:p>
      <w:pPr>
        <w:pStyle w:val="2"/>
        <w:rPr>
          <w:rFonts w:eastAsia="仿宋_GB2312"/>
          <w:sz w:val="22"/>
        </w:rPr>
      </w:pPr>
    </w:p>
    <w:p>
      <w:pPr>
        <w:pStyle w:val="2"/>
        <w:rPr>
          <w:rFonts w:eastAsia="仿宋_GB2312"/>
          <w:sz w:val="22"/>
        </w:rPr>
      </w:pPr>
    </w:p>
    <w:p>
      <w:pPr>
        <w:pStyle w:val="2"/>
        <w:rPr>
          <w:rFonts w:eastAsia="仿宋_GB2312"/>
          <w:sz w:val="22"/>
        </w:rPr>
      </w:pPr>
    </w:p>
    <w:p>
      <w:pPr>
        <w:pStyle w:val="2"/>
        <w:rPr>
          <w:rFonts w:eastAsia="仿宋_GB2312"/>
          <w:sz w:val="22"/>
        </w:rPr>
      </w:pPr>
    </w:p>
    <w:p>
      <w:pPr>
        <w:pStyle w:val="2"/>
        <w:rPr>
          <w:rFonts w:eastAsia="仿宋_GB2312"/>
          <w:sz w:val="22"/>
        </w:rPr>
      </w:pPr>
    </w:p>
    <w:p>
      <w:pPr>
        <w:pStyle w:val="2"/>
        <w:rPr>
          <w:rFonts w:eastAsia="仿宋_GB2312"/>
          <w:sz w:val="22"/>
        </w:rPr>
      </w:pPr>
    </w:p>
    <w:p>
      <w:pPr>
        <w:pStyle w:val="2"/>
        <w:rPr>
          <w:rFonts w:eastAsia="仿宋_GB2312"/>
          <w:sz w:val="22"/>
        </w:rPr>
      </w:pPr>
    </w:p>
    <w:p>
      <w:pPr>
        <w:spacing w:line="440" w:lineRule="exact"/>
        <w:jc w:val="left"/>
        <w:rPr>
          <w:rFonts w:hint="default" w:eastAsia="黑体"/>
          <w:color w:val="000000"/>
          <w:sz w:val="32"/>
        </w:rPr>
      </w:pPr>
      <w:r>
        <w:rPr>
          <w:rFonts w:ascii="黑体" w:hAnsi="黑体" w:eastAsia="黑体" w:cs="黑体"/>
          <w:color w:val="000000"/>
          <w:sz w:val="32"/>
          <w:szCs w:val="32"/>
        </w:rPr>
        <w:t>附件4</w:t>
      </w:r>
    </w:p>
    <w:p>
      <w:pPr>
        <w:spacing w:line="44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986.2万元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color w:val="000000"/>
                <w:sz w:val="24"/>
              </w:rPr>
              <w:t>保证乡政府的基本运转，不断提升政府的服务水平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年初预算783.81万元，全年执行数986.2万元，将其他收入资金的项目列入，各项目均按时保质保量完成，项目资金做到专款专用。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9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项目管理机制不健全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建议设置独立管理机构，合理搭配工程、财务、后期保障人员，提升管理水平。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tcPr>
          <w:p>
            <w:pPr>
              <w:rPr>
                <w:rFonts w:hint="default" w:asciiTheme="minorEastAsia" w:hAnsiTheme="minorEastAsia" w:eastAsiaTheme="minorEastAsia" w:cstheme="minorEastAsia"/>
                <w:sz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vAlign w:val="center"/>
          </w:tcPr>
          <w:p>
            <w:pPr>
              <w:rPr>
                <w:rFonts w:hint="default" w:asciiTheme="minorEastAsia" w:hAnsiTheme="minorEastAsia" w:eastAsiaTheme="minorEastAsia" w:cstheme="minorEastAsia"/>
                <w:sz w:val="24"/>
              </w:rPr>
            </w:pP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无</w:t>
            </w:r>
          </w:p>
          <w:p>
            <w:pPr>
              <w:rPr>
                <w:rFonts w:hint="default" w:asciiTheme="minorEastAsia" w:hAnsiTheme="minorEastAsia" w:eastAsiaTheme="minorEastAsia" w:cstheme="minorEastAsia"/>
                <w:sz w:val="24"/>
              </w:rPr>
            </w:pPr>
          </w:p>
        </w:tc>
      </w:tr>
    </w:tbl>
    <w:p>
      <w:pPr>
        <w:spacing w:line="320" w:lineRule="atLeast"/>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spacing w:line="320" w:lineRule="atLeast"/>
        <w:jc w:val="left"/>
        <w:rPr>
          <w:rFonts w:hint="eastAsia" w:asciiTheme="minorEastAsia" w:hAnsiTheme="minorEastAsia" w:eastAsiaTheme="minorEastAsia" w:cstheme="minorEastAsia"/>
          <w:sz w:val="24"/>
          <w:lang w:eastAsia="zh-CN"/>
        </w:rPr>
      </w:pPr>
      <w:r>
        <w:rPr>
          <w:rFonts w:asciiTheme="minorEastAsia" w:hAnsiTheme="minorEastAsia" w:eastAsiaTheme="minorEastAsia" w:cstheme="minorEastAsia"/>
          <w:sz w:val="24"/>
        </w:rPr>
        <w:t>填表人：欧阳梦婷 填报日期：2024.6.12 联系电话：7830001 单位负责人签字</w:t>
      </w:r>
      <w:r>
        <w:rPr>
          <w:rFonts w:hint="eastAsia" w:asciiTheme="minorEastAsia" w:hAnsiTheme="minorEastAsia" w:eastAsiaTheme="minorEastAsia" w:cstheme="minorEastAsia"/>
          <w:sz w:val="24"/>
          <w:lang w:eastAsia="zh-CN"/>
        </w:rPr>
        <w:t>：</w:t>
      </w:r>
    </w:p>
    <w:p>
      <w:pPr>
        <w:spacing w:line="600" w:lineRule="exact"/>
        <w:jc w:val="left"/>
        <w:rPr>
          <w:rFonts w:hint="default" w:ascii="黑体" w:hAnsi="黑体" w:eastAsia="黑体" w:cs="黑体"/>
          <w:sz w:val="32"/>
          <w:szCs w:val="32"/>
        </w:rPr>
      </w:pPr>
      <w:r>
        <w:rPr>
          <w:rFonts w:ascii="黑体" w:hAnsi="黑体" w:eastAsia="黑体" w:cs="黑体"/>
          <w:sz w:val="32"/>
          <w:szCs w:val="32"/>
        </w:rPr>
        <w:t>附件5</w:t>
      </w:r>
    </w:p>
    <w:p>
      <w:pPr>
        <w:spacing w:afterLines="50" w:line="600" w:lineRule="exact"/>
        <w:jc w:val="center"/>
        <w:outlineLvl w:val="1"/>
        <w:rPr>
          <w:rFonts w:hint="default" w:ascii="方正小标宋简体" w:eastAsia="方正小标宋简体"/>
          <w:sz w:val="44"/>
        </w:rPr>
      </w:pPr>
      <w:r>
        <w:rPr>
          <w:rFonts w:ascii="方正小标宋简体" w:eastAsia="方正小标宋简体"/>
          <w:sz w:val="44"/>
        </w:rPr>
        <w:t>2024年度项目支出绩效自评表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306"/>
        <w:gridCol w:w="1009"/>
        <w:gridCol w:w="1140"/>
        <w:gridCol w:w="1345"/>
        <w:gridCol w:w="627"/>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w:t>
            </w:r>
          </w:p>
          <w:p>
            <w:pPr>
              <w:spacing w:line="26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项目支出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双牌县上梧江瑶族乡人民政府</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实施单位</w:t>
            </w:r>
          </w:p>
        </w:tc>
        <w:tc>
          <w:tcPr>
            <w:tcW w:w="2650" w:type="dxa"/>
            <w:gridSpan w:val="3"/>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项目资金</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（万元）</w:t>
            </w:r>
          </w:p>
        </w:tc>
        <w:tc>
          <w:tcPr>
            <w:tcW w:w="239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年初</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全年</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预算数</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全年</w:t>
            </w:r>
          </w:p>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执行数</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39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年度资金总额　</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1209.57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1525.86</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1525.86</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391" w:type="dxa"/>
            <w:gridSpan w:val="2"/>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其中：当年财政拨款　</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606.57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729.67</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729.67</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391"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上年结转资金　</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2391" w:type="dxa"/>
            <w:gridSpan w:val="2"/>
            <w:tcBorders>
              <w:top w:val="single" w:color="auto" w:sz="6" w:space="0"/>
              <w:left w:val="single" w:color="auto" w:sz="6" w:space="0"/>
              <w:bottom w:val="single" w:color="auto" w:sz="6" w:space="0"/>
              <w:right w:val="single" w:color="auto" w:sz="6" w:space="0"/>
              <w:tl2br w:val="nil"/>
              <w:tr2bl w:val="nil"/>
            </w:tcBorders>
            <w:vAlign w:val="center"/>
          </w:tcPr>
          <w:p>
            <w:pPr>
              <w:ind w:firstLine="720" w:firstLineChars="300"/>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其他资金</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603</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796.2</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796.2</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保障乡政府的基本运转，不断提升上梧江乡政府服务水平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保障乡政府的基本运转，不断提升上梧江乡政府服务水平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绩</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效</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一级指标</w:t>
            </w: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二级指标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年度</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指标值</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实际</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完成值</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偏差原因</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分析及</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成本指标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经济成</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本指标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支出控制在预算内</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w:t>
            </w:r>
            <w:r>
              <w:rPr>
                <w:rFonts w:asciiTheme="minorEastAsia" w:hAnsiTheme="minorEastAsia" w:eastAsiaTheme="minorEastAsia" w:cstheme="minorEastAsia"/>
                <w:color w:val="000000"/>
                <w:sz w:val="24"/>
              </w:rPr>
              <w:t>1209.57万元</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1525.86万元</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生态环境</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成本指标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改善环境，保护环境意识提高</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产出指标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（40分）</w:t>
            </w: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数量指标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完成支出额</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lang w:eastAsia="zh-CN"/>
              </w:rPr>
              <w:t>≤</w:t>
            </w:r>
            <w:r>
              <w:rPr>
                <w:rFonts w:asciiTheme="minorEastAsia" w:hAnsiTheme="minorEastAsia" w:eastAsiaTheme="minorEastAsia" w:cstheme="minorEastAsia"/>
                <w:color w:val="000000"/>
                <w:sz w:val="24"/>
              </w:rPr>
              <w:t>1209.57万元</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1525.86万元</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质量指标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项目验收合格率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20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时效指标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完成支出及时率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≥90%</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≥90%</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restart"/>
            <w:tcBorders>
              <w:top w:val="single" w:color="auto" w:sz="6" w:space="0"/>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效益指标</w:t>
            </w:r>
          </w:p>
          <w:p>
            <w:pPr>
              <w:jc w:val="center"/>
              <w:rPr>
                <w:rFonts w:hint="default" w:asciiTheme="minorEastAsia" w:hAnsiTheme="minorEastAsia" w:eastAsiaTheme="minorEastAsia" w:cstheme="minorEastAsia"/>
                <w:color w:val="000000"/>
                <w:kern w:val="0"/>
                <w:sz w:val="24"/>
              </w:rPr>
            </w:pPr>
            <w:r>
              <w:rPr>
                <w:rFonts w:asciiTheme="minorEastAsia" w:hAnsiTheme="minorEastAsia" w:eastAsiaTheme="minorEastAsia" w:cstheme="minorEastAsia"/>
                <w:color w:val="000000"/>
                <w:kern w:val="0"/>
                <w:sz w:val="24"/>
              </w:rPr>
              <w:t>（20分）</w:t>
            </w: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经济效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益指标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促进本乡经济发展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085" w:type="dxa"/>
            <w:vMerge w:val="continue"/>
            <w:tcBorders>
              <w:left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生态效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益指标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保护生态发展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left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社会效</w:t>
            </w:r>
          </w:p>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益指标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hint="default" w:asciiTheme="minorEastAsia" w:hAnsiTheme="minorEastAsia" w:eastAsiaTheme="minorEastAsia" w:cstheme="minorEastAsia"/>
                <w:color w:val="000000"/>
                <w:sz w:val="24"/>
              </w:rPr>
              <w:t>经济增长、物价稳定、公平分配</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vMerge w:val="continue"/>
            <w:tcBorders>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可持续影响指标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促进可持续发展</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良好</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满意度</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指标</w:t>
            </w:r>
          </w:p>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（10分）</w:t>
            </w:r>
          </w:p>
        </w:tc>
        <w:tc>
          <w:tcPr>
            <w:tcW w:w="1306"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服务对象满意度指标</w:t>
            </w:r>
          </w:p>
        </w:tc>
        <w:tc>
          <w:tcPr>
            <w:tcW w:w="1009" w:type="dxa"/>
            <w:tcBorders>
              <w:top w:val="single" w:color="auto" w:sz="6" w:space="0"/>
              <w:left w:val="single" w:color="auto" w:sz="6" w:space="0"/>
              <w:bottom w:val="single" w:color="auto" w:sz="6" w:space="0"/>
              <w:right w:val="single" w:color="auto" w:sz="6" w:space="0"/>
              <w:tl2br w:val="nil"/>
              <w:tr2bl w:val="nil"/>
            </w:tcBorders>
            <w:vAlign w:val="center"/>
          </w:tcPr>
          <w:p>
            <w:pPr>
              <w:spacing w:line="240" w:lineRule="exact"/>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社会公众或服务对象满意度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1345" w:type="dxa"/>
            <w:tcBorders>
              <w:top w:val="single" w:color="auto" w:sz="6" w:space="0"/>
              <w:left w:val="single" w:color="auto" w:sz="6" w:space="0"/>
              <w:bottom w:val="single" w:color="auto" w:sz="6" w:space="0"/>
              <w:right w:val="single" w:color="auto" w:sz="6"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≥95%</w:t>
            </w:r>
          </w:p>
        </w:tc>
        <w:tc>
          <w:tcPr>
            <w:tcW w:w="62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806"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总分</w:t>
            </w:r>
          </w:p>
        </w:tc>
        <w:tc>
          <w:tcPr>
            <w:tcW w:w="62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98</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jc w:val="left"/>
              <w:rPr>
                <w:rFonts w:hint="default" w:asciiTheme="minorEastAsia" w:hAnsiTheme="minorEastAsia" w:eastAsiaTheme="minorEastAsia" w:cstheme="minorEastAsia"/>
                <w:color w:val="000000"/>
                <w:sz w:val="24"/>
              </w:rPr>
            </w:pPr>
            <w:r>
              <w:rPr>
                <w:rFonts w:asciiTheme="minorEastAsia" w:hAnsiTheme="minorEastAsia" w:eastAsiaTheme="minorEastAsia" w:cstheme="minorEastAsia"/>
                <w:color w:val="000000"/>
                <w:sz w:val="24"/>
              </w:rPr>
              <w:t>　</w:t>
            </w:r>
          </w:p>
        </w:tc>
      </w:tr>
    </w:tbl>
    <w:p>
      <w:pPr>
        <w:jc w:val="left"/>
        <w:rPr>
          <w:rFonts w:hint="default" w:asciiTheme="minorEastAsia" w:hAnsiTheme="minorEastAsia" w:eastAsiaTheme="minorEastAsia" w:cstheme="minorEastAsia"/>
          <w:sz w:val="24"/>
        </w:rPr>
      </w:pPr>
      <w:r>
        <w:rPr>
          <w:rFonts w:asciiTheme="minorEastAsia" w:hAnsiTheme="minorEastAsia" w:eastAsiaTheme="minorEastAsia" w:cstheme="minorEastAsia"/>
          <w:sz w:val="24"/>
        </w:rPr>
        <w:t>备注：每个项目支出分别填报自评报告和自评表。</w:t>
      </w:r>
    </w:p>
    <w:p>
      <w:pPr>
        <w:jc w:val="left"/>
        <w:rPr>
          <w:rFonts w:hint="default" w:asciiTheme="minorEastAsia" w:hAnsiTheme="minorEastAsia" w:eastAsiaTheme="minorEastAsia" w:cstheme="minorEastAsia"/>
          <w:sz w:val="24"/>
        </w:rPr>
      </w:pPr>
    </w:p>
    <w:p>
      <w:pPr>
        <w:jc w:val="left"/>
        <w:rPr>
          <w:rFonts w:hint="default" w:eastAsia="仿宋_GB2312"/>
          <w:sz w:val="22"/>
        </w:rPr>
        <w:sectPr>
          <w:footerReference r:id="rId6" w:type="default"/>
          <w:footerReference r:id="rId7" w:type="even"/>
          <w:pgSz w:w="11905" w:h="16837"/>
          <w:pgMar w:top="1440" w:right="1701" w:bottom="1440" w:left="1701" w:header="851" w:footer="1474" w:gutter="0"/>
          <w:pgNumType w:fmt="numberInDash" w:start="11"/>
          <w:cols w:space="0" w:num="1"/>
          <w:docGrid w:type="lines" w:linePitch="636" w:charSpace="0"/>
        </w:sectPr>
      </w:pPr>
      <w:r>
        <w:rPr>
          <w:rFonts w:asciiTheme="minorEastAsia" w:hAnsiTheme="minorEastAsia" w:eastAsiaTheme="minorEastAsia" w:cstheme="minorEastAsia"/>
          <w:sz w:val="24"/>
        </w:rPr>
        <w:t>填表人：欧阳梦婷  填报日期：2024.6.12 联系电话：7830001  单位负责人签字：</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村级运转经费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color w:val="000000"/>
                <w:sz w:val="24"/>
              </w:rPr>
              <w:t>保证</w:t>
            </w:r>
            <w:r>
              <w:rPr>
                <w:rFonts w:hint="eastAsia" w:asciiTheme="minorEastAsia" w:hAnsiTheme="minorEastAsia" w:eastAsiaTheme="minorEastAsia" w:cstheme="minorEastAsia"/>
                <w:color w:val="000000"/>
                <w:sz w:val="24"/>
                <w:lang w:eastAsia="zh-CN"/>
              </w:rPr>
              <w:t>乡</w:t>
            </w:r>
            <w:r>
              <w:rPr>
                <w:rFonts w:asciiTheme="minorEastAsia" w:hAnsiTheme="minorEastAsia" w:eastAsiaTheme="minorEastAsia" w:cstheme="minorEastAsia"/>
                <w:color w:val="000000"/>
                <w:sz w:val="24"/>
              </w:rPr>
              <w:t>政府的基本运转，不断提升政府的服务水平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72</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，全年执行数</w:t>
            </w:r>
            <w:r>
              <w:rPr>
                <w:rFonts w:hint="eastAsia" w:asciiTheme="minorEastAsia" w:hAnsiTheme="minorEastAsia" w:eastAsiaTheme="minorEastAsia" w:cstheme="minorEastAsia"/>
                <w:color w:val="auto"/>
                <w:sz w:val="24"/>
                <w:lang w:val="en-US" w:eastAsia="zh-CN"/>
              </w:rPr>
              <w:t>72</w:t>
            </w:r>
            <w:r>
              <w:rPr>
                <w:rFonts w:asciiTheme="minorEastAsia" w:hAnsiTheme="minorEastAsia" w:eastAsiaTheme="minorEastAsia" w:cstheme="minorEastAsia"/>
                <w:color w:val="auto"/>
                <w:sz w:val="24"/>
              </w:rPr>
              <w:t>万元</w:t>
            </w:r>
            <w:r>
              <w:rPr>
                <w:rFonts w:hint="eastAsia" w:asciiTheme="minorEastAsia" w:hAnsiTheme="minorEastAsia" w:eastAsiaTheme="minorEastAsia" w:cstheme="minorEastAsia"/>
                <w:color w:val="auto"/>
                <w:sz w:val="24"/>
                <w:lang w:eastAsia="zh-CN"/>
              </w:rPr>
              <w:t>，各项工作</w:t>
            </w:r>
            <w:r>
              <w:rPr>
                <w:rFonts w:asciiTheme="minorEastAsia" w:hAnsiTheme="minorEastAsia" w:eastAsiaTheme="minorEastAsia" w:cstheme="minorEastAsia"/>
                <w:sz w:val="24"/>
              </w:rPr>
              <w:t>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项目管理机制不健全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建议设置独立管理机构，合理搭配工程、财务、后期保障人员，提升管理水平。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spacing w:before="0" w:beforeAutospacing="0" w:after="0" w:afterAutospacing="0"/>
        <w:ind w:left="7663" w:leftChars="0" w:hanging="7663" w:hangingChars="3193"/>
        <w:rPr>
          <w:rFonts w:hint="eastAsia" w:asciiTheme="minorEastAsia" w:hAnsiTheme="minorEastAsia" w:eastAsiaTheme="minorEastAsia" w:cstheme="minorEastAsia"/>
          <w:sz w:val="24"/>
          <w:lang w:eastAsia="zh-CN"/>
        </w:rPr>
      </w:pPr>
    </w:p>
    <w:p>
      <w:pPr>
        <w:pStyle w:val="2"/>
        <w:spacing w:before="0" w:beforeAutospacing="0" w:after="0" w:afterAutospacing="0"/>
        <w:ind w:left="0" w:leftChars="0" w:firstLine="0" w:firstLineChars="0"/>
        <w:rPr>
          <w:rFonts w:hint="eastAsia" w:asciiTheme="minorEastAsia" w:hAnsiTheme="minorEastAsia" w:eastAsiaTheme="minorEastAsia" w:cstheme="minorEastAsia"/>
          <w:sz w:val="24"/>
          <w:lang w:eastAsia="zh-CN"/>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-1</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村级运转经费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乡镇各村</w:t>
            </w:r>
            <w:r>
              <w:rPr>
                <w:rFonts w:hint="eastAsia" w:asciiTheme="minorEastAsia" w:hAnsiTheme="minorEastAsia" w:eastAsiaTheme="minorEastAsia" w:cstheme="minorEastAsia"/>
                <w:color w:val="000000"/>
                <w:sz w:val="24"/>
                <w:szCs w:val="24"/>
              </w:rPr>
              <w:t>的基本运转，不断提升</w:t>
            </w:r>
            <w:r>
              <w:rPr>
                <w:rFonts w:hint="eastAsia" w:asciiTheme="minorEastAsia" w:hAnsiTheme="minorEastAsia" w:eastAsiaTheme="minorEastAsia" w:cstheme="minorEastAsia"/>
                <w:color w:val="000000"/>
                <w:sz w:val="24"/>
                <w:szCs w:val="24"/>
                <w:lang w:eastAsia="zh-CN"/>
              </w:rPr>
              <w:t>上梧江瑶族乡各村</w:t>
            </w:r>
            <w:r>
              <w:rPr>
                <w:rFonts w:hint="eastAsia" w:asciiTheme="minorEastAsia" w:hAnsiTheme="minorEastAsia" w:eastAsiaTheme="minorEastAsia" w:cstheme="minorEastAsia"/>
                <w:color w:val="000000"/>
                <w:sz w:val="24"/>
                <w:szCs w:val="24"/>
              </w:rPr>
              <w:t>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乡镇各村</w:t>
            </w:r>
            <w:r>
              <w:rPr>
                <w:rFonts w:hint="eastAsia" w:asciiTheme="minorEastAsia" w:hAnsiTheme="minorEastAsia" w:eastAsiaTheme="minorEastAsia" w:cstheme="minorEastAsia"/>
                <w:color w:val="000000"/>
                <w:sz w:val="24"/>
                <w:szCs w:val="24"/>
              </w:rPr>
              <w:t>的基本运转，不断提升</w:t>
            </w:r>
            <w:r>
              <w:rPr>
                <w:rFonts w:hint="eastAsia" w:asciiTheme="minorEastAsia" w:hAnsiTheme="minorEastAsia" w:eastAsiaTheme="minorEastAsia" w:cstheme="minorEastAsia"/>
                <w:color w:val="000000"/>
                <w:sz w:val="24"/>
                <w:szCs w:val="24"/>
                <w:lang w:eastAsia="zh-CN"/>
              </w:rPr>
              <w:t>上梧江瑶族乡各村</w:t>
            </w:r>
            <w:r>
              <w:rPr>
                <w:rFonts w:hint="eastAsia" w:asciiTheme="minorEastAsia" w:hAnsiTheme="minorEastAsia" w:eastAsiaTheme="minorEastAsia" w:cstheme="minorEastAsia"/>
                <w:color w:val="000000"/>
                <w:sz w:val="24"/>
                <w:szCs w:val="24"/>
              </w:rPr>
              <w:t>服务水平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72</w:t>
            </w:r>
            <w:r>
              <w:rPr>
                <w:rFonts w:hint="eastAsia" w:asciiTheme="minorEastAsia" w:hAnsiTheme="minorEastAsia" w:eastAsiaTheme="minorEastAsia" w:cstheme="minorEastAsia"/>
                <w:color w:val="00000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72万元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6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2024年12月31日之前</w:t>
            </w:r>
            <w:r>
              <w:rPr>
                <w:rFonts w:hint="eastAsia" w:asciiTheme="minorEastAsia" w:hAnsiTheme="minorEastAsia" w:eastAsiaTheme="minorEastAsia" w:cstheme="minorEastAsia"/>
                <w:color w:val="000000"/>
                <w:sz w:val="24"/>
                <w:szCs w:val="24"/>
                <w:lang w:eastAsia="zh-CN"/>
              </w:rPr>
              <w:t>已</w:t>
            </w:r>
            <w:r>
              <w:rPr>
                <w:rFonts w:hint="eastAsia" w:asciiTheme="minorEastAsia" w:hAnsiTheme="minorEastAsia" w:eastAsiaTheme="minorEastAsia" w:cstheme="minorEastAsia"/>
                <w:color w:val="000000"/>
                <w:sz w:val="24"/>
                <w:szCs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保障单位工作正常运转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无</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eastAsia="zh-CN"/>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可持续影响情况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单位专项业务经费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color w:val="000000"/>
                <w:sz w:val="24"/>
              </w:rPr>
              <w:t>保证</w:t>
            </w:r>
            <w:r>
              <w:rPr>
                <w:rFonts w:hint="eastAsia" w:asciiTheme="minorEastAsia" w:hAnsiTheme="minorEastAsia" w:eastAsiaTheme="minorEastAsia" w:cstheme="minorEastAsia"/>
                <w:color w:val="000000"/>
                <w:sz w:val="24"/>
                <w:lang w:eastAsia="zh-CN"/>
              </w:rPr>
              <w:t>乡</w:t>
            </w:r>
            <w:r>
              <w:rPr>
                <w:rFonts w:asciiTheme="minorEastAsia" w:hAnsiTheme="minorEastAsia" w:eastAsiaTheme="minorEastAsia" w:cstheme="minorEastAsia"/>
                <w:color w:val="000000"/>
                <w:sz w:val="24"/>
              </w:rPr>
              <w:t>政府的基本运转，不断提升政府的服务水平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17</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，全年执行数</w:t>
            </w:r>
            <w:r>
              <w:rPr>
                <w:rFonts w:hint="eastAsia" w:asciiTheme="minorEastAsia" w:hAnsiTheme="minorEastAsia" w:eastAsiaTheme="minorEastAsia" w:cstheme="minorEastAsia"/>
                <w:color w:val="auto"/>
                <w:sz w:val="24"/>
                <w:lang w:val="en-US" w:eastAsia="zh-CN"/>
              </w:rPr>
              <w:t>17</w:t>
            </w:r>
            <w:r>
              <w:rPr>
                <w:rFonts w:asciiTheme="minorEastAsia" w:hAnsiTheme="minorEastAsia" w:eastAsiaTheme="minorEastAsia" w:cstheme="minorEastAsia"/>
                <w:color w:val="auto"/>
                <w:sz w:val="24"/>
              </w:rPr>
              <w:t>万元</w:t>
            </w:r>
            <w:r>
              <w:rPr>
                <w:rFonts w:hint="eastAsia" w:asciiTheme="minorEastAsia" w:hAnsiTheme="minorEastAsia" w:eastAsiaTheme="minorEastAsia" w:cstheme="minorEastAsia"/>
                <w:color w:val="auto"/>
                <w:sz w:val="24"/>
                <w:lang w:eastAsia="zh-CN"/>
              </w:rPr>
              <w:t>，各项工作</w:t>
            </w:r>
            <w:r>
              <w:rPr>
                <w:rFonts w:asciiTheme="minorEastAsia" w:hAnsiTheme="minorEastAsia" w:eastAsiaTheme="minorEastAsia" w:cstheme="minorEastAsia"/>
                <w:sz w:val="24"/>
              </w:rPr>
              <w:t>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项目管理机制不健全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建议设置独立管理机构，合理搭配工程、财务、后期保障人员，提升管理水平。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rPr>
          <w:rFonts w:hint="eastAsia" w:ascii="黑体" w:hAnsi="黑体" w:eastAsia="黑体" w:cs="黑体"/>
          <w:sz w:val="32"/>
          <w:szCs w:val="32"/>
        </w:rPr>
      </w:pPr>
      <w:r>
        <w:rPr>
          <w:rFonts w:hint="eastAsia" w:ascii="黑体" w:hAnsi="黑体" w:eastAsia="黑体" w:cs="黑体"/>
          <w:sz w:val="32"/>
          <w:szCs w:val="32"/>
        </w:rPr>
        <w:br w:type="page"/>
      </w: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-2</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单位专项业务经费</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17</w:t>
            </w:r>
            <w:r>
              <w:rPr>
                <w:rFonts w:hint="eastAsia" w:asciiTheme="minorEastAsia" w:hAnsiTheme="minorEastAsia" w:eastAsiaTheme="minorEastAsia" w:cstheme="minorEastAsia"/>
                <w:color w:val="00000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17万元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2024年12月31日之前</w:t>
            </w:r>
            <w:r>
              <w:rPr>
                <w:rFonts w:hint="eastAsia" w:asciiTheme="minorEastAsia" w:hAnsiTheme="minorEastAsia" w:eastAsiaTheme="minorEastAsia" w:cstheme="minorEastAsia"/>
                <w:color w:val="000000"/>
                <w:sz w:val="24"/>
                <w:szCs w:val="24"/>
                <w:lang w:eastAsia="zh-CN"/>
              </w:rPr>
              <w:t>已</w:t>
            </w:r>
            <w:r>
              <w:rPr>
                <w:rFonts w:hint="eastAsia" w:asciiTheme="minorEastAsia" w:hAnsiTheme="minorEastAsia" w:eastAsiaTheme="minorEastAsia" w:cstheme="minorEastAsia"/>
                <w:color w:val="000000"/>
                <w:sz w:val="24"/>
                <w:szCs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保障单位工作正常运转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无</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eastAsia="zh-CN"/>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可持续影响情况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asciiTheme="minorEastAsia" w:hAnsiTheme="minorEastAsia" w:eastAsiaTheme="minorEastAsia" w:cstheme="minorEastAsia"/>
          <w:sz w:val="24"/>
          <w:szCs w:val="24"/>
          <w:lang w:eastAsia="zh-CN"/>
        </w:rPr>
      </w:pPr>
    </w:p>
    <w:p>
      <w:pPr>
        <w:pStyle w:val="2"/>
        <w:ind w:left="0" w:leftChars="0" w:firstLine="0" w:firstLineChars="0"/>
        <w:rPr>
          <w:rFonts w:hint="eastAsia" w:asciiTheme="minorEastAsia" w:hAnsiTheme="minorEastAsia" w:eastAsiaTheme="minorEastAsia" w:cstheme="minorEastAsia"/>
          <w:sz w:val="24"/>
          <w:szCs w:val="24"/>
          <w:lang w:eastAsia="zh-CN"/>
        </w:rPr>
      </w:pPr>
    </w:p>
    <w:p>
      <w:pPr>
        <w:pStyle w:val="2"/>
        <w:ind w:left="0" w:leftChars="0" w:firstLine="0" w:firstLineChars="0"/>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乡镇纪委办案经费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color w:val="000000"/>
                <w:sz w:val="24"/>
              </w:rPr>
              <w:t>保证</w:t>
            </w:r>
            <w:r>
              <w:rPr>
                <w:rFonts w:hint="eastAsia" w:asciiTheme="minorEastAsia" w:hAnsiTheme="minorEastAsia" w:eastAsiaTheme="minorEastAsia" w:cstheme="minorEastAsia"/>
                <w:color w:val="000000"/>
                <w:sz w:val="24"/>
                <w:lang w:eastAsia="zh-CN"/>
              </w:rPr>
              <w:t>乡</w:t>
            </w:r>
            <w:r>
              <w:rPr>
                <w:rFonts w:asciiTheme="minorEastAsia" w:hAnsiTheme="minorEastAsia" w:eastAsiaTheme="minorEastAsia" w:cstheme="minorEastAsia"/>
                <w:color w:val="000000"/>
                <w:sz w:val="24"/>
              </w:rPr>
              <w:t>政府的基本运转，不断提升政府的服务水平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8</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，全年执行数</w:t>
            </w:r>
            <w:r>
              <w:rPr>
                <w:rFonts w:hint="eastAsia" w:asciiTheme="minorEastAsia" w:hAnsiTheme="minorEastAsia" w:eastAsiaTheme="minorEastAsia" w:cstheme="minorEastAsia"/>
                <w:color w:val="auto"/>
                <w:sz w:val="24"/>
                <w:lang w:val="en-US" w:eastAsia="zh-CN"/>
              </w:rPr>
              <w:t>8</w:t>
            </w:r>
            <w:r>
              <w:rPr>
                <w:rFonts w:asciiTheme="minorEastAsia" w:hAnsiTheme="minorEastAsia" w:eastAsiaTheme="minorEastAsia" w:cstheme="minorEastAsia"/>
                <w:color w:val="auto"/>
                <w:sz w:val="24"/>
              </w:rPr>
              <w:t>万元</w:t>
            </w:r>
            <w:r>
              <w:rPr>
                <w:rFonts w:hint="eastAsia" w:asciiTheme="minorEastAsia" w:hAnsiTheme="minorEastAsia" w:eastAsiaTheme="minorEastAsia" w:cstheme="minorEastAsia"/>
                <w:color w:val="auto"/>
                <w:sz w:val="24"/>
                <w:lang w:eastAsia="zh-CN"/>
              </w:rPr>
              <w:t>，各项工作</w:t>
            </w:r>
            <w:r>
              <w:rPr>
                <w:rFonts w:asciiTheme="minorEastAsia" w:hAnsiTheme="minorEastAsia" w:eastAsiaTheme="minorEastAsia" w:cstheme="minorEastAsia"/>
                <w:sz w:val="24"/>
              </w:rPr>
              <w:t>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项目管理机制不健全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建议设置独立管理机构，合理搭配工程、财务、后期保障人员，提升管理水平。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asciiTheme="minorEastAsia" w:hAnsiTheme="minorEastAsia" w:eastAsiaTheme="minorEastAsia" w:cstheme="minorEastAsia"/>
          <w:sz w:val="24"/>
          <w:szCs w:val="24"/>
          <w:lang w:eastAsia="zh-CN"/>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-3</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乡镇纪委办案经费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8万元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51"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2024年12月31日之前</w:t>
            </w:r>
            <w:r>
              <w:rPr>
                <w:rFonts w:hint="eastAsia" w:asciiTheme="minorEastAsia" w:hAnsiTheme="minorEastAsia" w:eastAsiaTheme="minorEastAsia" w:cstheme="minorEastAsia"/>
                <w:color w:val="000000"/>
                <w:sz w:val="24"/>
                <w:szCs w:val="24"/>
                <w:lang w:eastAsia="zh-CN"/>
              </w:rPr>
              <w:t>已</w:t>
            </w:r>
            <w:r>
              <w:rPr>
                <w:rFonts w:hint="eastAsia" w:asciiTheme="minorEastAsia" w:hAnsiTheme="minorEastAsia" w:eastAsiaTheme="minorEastAsia" w:cstheme="minorEastAsia"/>
                <w:color w:val="000000"/>
                <w:sz w:val="24"/>
                <w:szCs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保障单位工作正常运转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无</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eastAsia="zh-CN"/>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可持续影响情况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eastAsia" w:asciiTheme="minorEastAsia" w:hAnsiTheme="minorEastAsia" w:eastAsiaTheme="minorEastAsia" w:cstheme="minorEastAsia"/>
          <w:sz w:val="24"/>
          <w:szCs w:val="24"/>
          <w:lang w:eastAsia="zh-CN"/>
        </w:rPr>
        <w:sectPr>
          <w:footerReference r:id="rId8" w:type="default"/>
          <w:footerReference r:id="rId9" w:type="even"/>
          <w:pgSz w:w="11905" w:h="16837"/>
          <w:pgMar w:top="1440" w:right="1701" w:bottom="1440" w:left="1701" w:header="851" w:footer="1474" w:gutter="0"/>
          <w:pgNumType w:fmt="numberInDash" w:start="16"/>
          <w:cols w:space="0" w:num="1"/>
          <w:docGrid w:type="lines" w:linePitch="636" w:charSpace="0"/>
        </w:sect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lang w:val="en-US" w:eastAsia="zh-CN"/>
        </w:rPr>
      </w:pPr>
      <w:r>
        <w:rPr>
          <w:rFonts w:hint="eastAsia" w:ascii="黑体" w:hAnsi="黑体" w:eastAsia="黑体" w:cs="黑体"/>
          <w:color w:val="000000"/>
          <w:sz w:val="32"/>
          <w:szCs w:val="32"/>
        </w:rPr>
        <w:t>附件4</w:t>
      </w:r>
      <w:r>
        <w:rPr>
          <w:rFonts w:hint="eastAsia" w:ascii="黑体" w:hAnsi="黑体" w:eastAsia="黑体" w:cs="黑体"/>
          <w:color w:val="000000"/>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8"/>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工伤保险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color w:val="000000"/>
                <w:sz w:val="24"/>
              </w:rPr>
              <w:t>保证</w:t>
            </w:r>
            <w:r>
              <w:rPr>
                <w:rFonts w:hint="eastAsia" w:asciiTheme="minorEastAsia" w:hAnsiTheme="minorEastAsia" w:eastAsiaTheme="minorEastAsia" w:cstheme="minorEastAsia"/>
                <w:color w:val="000000"/>
                <w:sz w:val="24"/>
                <w:lang w:eastAsia="zh-CN"/>
              </w:rPr>
              <w:t>乡</w:t>
            </w:r>
            <w:r>
              <w:rPr>
                <w:rFonts w:asciiTheme="minorEastAsia" w:hAnsiTheme="minorEastAsia" w:eastAsiaTheme="minorEastAsia" w:cstheme="minorEastAsia"/>
                <w:color w:val="000000"/>
                <w:sz w:val="24"/>
              </w:rPr>
              <w:t>政府的基本运转，不断提升政府的服务水平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年初预算</w:t>
            </w:r>
            <w:r>
              <w:rPr>
                <w:rFonts w:hint="eastAsia" w:asciiTheme="minorEastAsia" w:hAnsiTheme="minorEastAsia" w:eastAsiaTheme="minorEastAsia" w:cstheme="minorEastAsia"/>
                <w:sz w:val="24"/>
                <w:lang w:val="en-US" w:eastAsia="zh-CN"/>
              </w:rPr>
              <w:t>0.9</w:t>
            </w:r>
            <w:r>
              <w:rPr>
                <w:rFonts w:asciiTheme="minorEastAsia" w:hAnsiTheme="minorEastAsia" w:eastAsiaTheme="minorEastAsia" w:cstheme="minorEastAsia"/>
                <w:color w:val="auto"/>
                <w:sz w:val="24"/>
              </w:rPr>
              <w:t>万元</w:t>
            </w:r>
            <w:r>
              <w:rPr>
                <w:rFonts w:asciiTheme="minorEastAsia" w:hAnsiTheme="minorEastAsia" w:eastAsiaTheme="minorEastAsia" w:cstheme="minorEastAsia"/>
                <w:sz w:val="24"/>
              </w:rPr>
              <w:t>，全年执行数</w:t>
            </w:r>
            <w:r>
              <w:rPr>
                <w:rFonts w:hint="eastAsia" w:asciiTheme="minorEastAsia" w:hAnsiTheme="minorEastAsia" w:eastAsiaTheme="minorEastAsia" w:cstheme="minorEastAsia"/>
                <w:color w:val="auto"/>
                <w:sz w:val="24"/>
                <w:lang w:val="en-US" w:eastAsia="zh-CN"/>
              </w:rPr>
              <w:t>0.9</w:t>
            </w:r>
            <w:r>
              <w:rPr>
                <w:rFonts w:asciiTheme="minorEastAsia" w:hAnsiTheme="minorEastAsia" w:eastAsiaTheme="minorEastAsia" w:cstheme="minorEastAsia"/>
                <w:color w:val="auto"/>
                <w:sz w:val="24"/>
              </w:rPr>
              <w:t>万元</w:t>
            </w:r>
            <w:r>
              <w:rPr>
                <w:rFonts w:hint="eastAsia" w:asciiTheme="minorEastAsia" w:hAnsiTheme="minorEastAsia" w:eastAsiaTheme="minorEastAsia" w:cstheme="minorEastAsia"/>
                <w:color w:val="auto"/>
                <w:sz w:val="24"/>
                <w:lang w:eastAsia="zh-CN"/>
              </w:rPr>
              <w:t>，各项工作</w:t>
            </w:r>
            <w:r>
              <w:rPr>
                <w:rFonts w:asciiTheme="minorEastAsia" w:hAnsiTheme="minorEastAsia" w:eastAsiaTheme="minorEastAsia" w:cstheme="minorEastAsia"/>
                <w:sz w:val="24"/>
              </w:rPr>
              <w:t>按时保质保量完成，项目资金做到专款专用。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38"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asciiTheme="minorEastAsia" w:hAnsiTheme="minorEastAsia" w:eastAsiaTheme="minorEastAsia" w:cstheme="minorEastAsia"/>
                <w:sz w:val="24"/>
              </w:rPr>
              <w:t>项目绩效目标（成本指标、产出指标、效益指标）均按照预期较好完成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5"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项目管理机制不健全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shd w:val="clear" w:color="auto" w:fill="auto"/>
            <w:vAlign w:val="center"/>
          </w:tcPr>
          <w:p>
            <w:pPr>
              <w:spacing w:beforeLines="0" w:afterLine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lang w:eastAsia="zh-CN"/>
              </w:rPr>
              <w:t>建议设置独立管理机构，合理搭配工程、财务、后期保障人员，提升管理水平。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shd w:val="clear" w:color="auto" w:fill="auto"/>
            <w:vAlign w:val="center"/>
          </w:tcPr>
          <w:p>
            <w:pPr>
              <w:spacing w:beforeLines="0" w:afterLines="0"/>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asciiTheme="minorEastAsia" w:hAnsiTheme="minorEastAsia" w:eastAsiaTheme="minorEastAsia" w:cstheme="minorEastAsia"/>
                <w:sz w:val="24"/>
              </w:rPr>
              <w:t>无</w:t>
            </w:r>
          </w:p>
          <w:p>
            <w:pPr>
              <w:spacing w:beforeLines="0" w:afterLines="0"/>
              <w:rPr>
                <w:rFonts w:hint="eastAsia" w:asciiTheme="minorEastAsia" w:hAnsiTheme="minorEastAsia" w:eastAsiaTheme="minorEastAsia" w:cstheme="minorEastAsia"/>
                <w:kern w:val="2"/>
                <w:sz w:val="24"/>
                <w:szCs w:val="24"/>
                <w:lang w:val="en-US" w:eastAsia="zh-CN" w:bidi="ar-SA"/>
              </w:rPr>
            </w:pPr>
          </w:p>
        </w:tc>
      </w:tr>
    </w:tbl>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line="320" w:lineRule="atLeas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单位负责人签字：</w:t>
      </w:r>
    </w:p>
    <w:p>
      <w:pPr>
        <w:pStyle w:val="2"/>
        <w:ind w:left="0" w:leftChars="0" w:firstLine="0" w:firstLineChars="0"/>
        <w:rPr>
          <w:rFonts w:hint="default" w:eastAsia="仿宋_GB2312"/>
          <w:sz w:val="22"/>
        </w:rPr>
      </w:pPr>
    </w:p>
    <w:p>
      <w:pPr>
        <w:spacing w:beforeLines="0" w:afterLines="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附件5</w:t>
      </w:r>
      <w:r>
        <w:rPr>
          <w:rFonts w:hint="eastAsia" w:ascii="黑体" w:hAnsi="黑体" w:eastAsia="黑体" w:cs="黑体"/>
          <w:sz w:val="32"/>
          <w:szCs w:val="32"/>
          <w:lang w:val="en-US" w:eastAsia="zh-CN"/>
        </w:rPr>
        <w:t>-4</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8"/>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工伤保险</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双牌县上梧江瑶族乡人民政府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6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保障</w:t>
            </w:r>
            <w:r>
              <w:rPr>
                <w:rFonts w:hint="eastAsia" w:asciiTheme="minorEastAsia" w:hAnsiTheme="minorEastAsia" w:eastAsiaTheme="minorEastAsia" w:cstheme="minorEastAsia"/>
                <w:color w:val="000000"/>
                <w:sz w:val="24"/>
                <w:szCs w:val="24"/>
                <w:lang w:eastAsia="zh-CN"/>
              </w:rPr>
              <w:t>乡</w:t>
            </w:r>
            <w:r>
              <w:rPr>
                <w:rFonts w:hint="eastAsia" w:asciiTheme="minorEastAsia" w:hAnsiTheme="minorEastAsia" w:eastAsiaTheme="minorEastAsia" w:cstheme="minorEastAsia"/>
                <w:color w:val="000000"/>
                <w:sz w:val="24"/>
                <w:szCs w:val="24"/>
              </w:rPr>
              <w:t>政府的基本运转，不断提升</w:t>
            </w:r>
            <w:r>
              <w:rPr>
                <w:rFonts w:hint="eastAsia" w:asciiTheme="minorEastAsia" w:hAnsiTheme="minorEastAsia" w:eastAsiaTheme="minorEastAsia" w:cstheme="minorEastAsia"/>
                <w:color w:val="000000"/>
                <w:sz w:val="24"/>
                <w:szCs w:val="24"/>
                <w:lang w:eastAsia="zh-CN"/>
              </w:rPr>
              <w:t>上梧江瑶族乡</w:t>
            </w:r>
            <w:r>
              <w:rPr>
                <w:rFonts w:hint="eastAsia" w:asciiTheme="minorEastAsia" w:hAnsiTheme="minorEastAsia" w:eastAsiaTheme="minorEastAsia" w:cstheme="minorEastAsia"/>
                <w:color w:val="000000"/>
                <w:sz w:val="24"/>
                <w:szCs w:val="24"/>
              </w:rPr>
              <w:t>政府服务水平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2"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项目成本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0.9</w:t>
            </w:r>
            <w:r>
              <w:rPr>
                <w:rFonts w:hint="eastAsia" w:asciiTheme="minorEastAsia" w:hAnsiTheme="minorEastAsia" w:eastAsiaTheme="minorEastAsia" w:cstheme="minorEastAsia"/>
                <w:color w:val="000000"/>
                <w:sz w:val="24"/>
                <w:szCs w:val="24"/>
                <w:lang w:eastAsia="zh-CN"/>
              </w:rPr>
              <w:t>万元</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0.9万元</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8"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社会成本节约率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生态环境成本节约率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项目工作完成率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5"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项目绩效目标达成率</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4"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完成及时性</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2024年12月31日之前完成</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2024年12月31日之前</w:t>
            </w:r>
            <w:r>
              <w:rPr>
                <w:rFonts w:hint="eastAsia" w:asciiTheme="minorEastAsia" w:hAnsiTheme="minorEastAsia" w:eastAsiaTheme="minorEastAsia" w:cstheme="minorEastAsia"/>
                <w:color w:val="000000"/>
                <w:sz w:val="24"/>
                <w:szCs w:val="24"/>
                <w:lang w:eastAsia="zh-CN"/>
              </w:rPr>
              <w:t>已</w:t>
            </w:r>
            <w:r>
              <w:rPr>
                <w:rFonts w:hint="eastAsia" w:asciiTheme="minorEastAsia" w:hAnsiTheme="minorEastAsia" w:eastAsiaTheme="minorEastAsia" w:cstheme="minorEastAsia"/>
                <w:color w:val="000000"/>
                <w:sz w:val="24"/>
                <w:szCs w:val="24"/>
              </w:rPr>
              <w:t>完成</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充分发挥专项资金使用效益</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效果显著</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效果显著</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保障单位工作正常运转</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有效保障</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有效保障</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生态效益情况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无</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无</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eastAsia="zh-CN"/>
              </w:rPr>
              <w:t>可持续影响指标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可持续影响情况</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效果明显</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效果明显</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群众满意度</w:t>
            </w:r>
          </w:p>
        </w:tc>
        <w:tc>
          <w:tcPr>
            <w:tcW w:w="114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90%</w:t>
            </w:r>
          </w:p>
        </w:tc>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95%</w:t>
            </w:r>
          </w:p>
        </w:tc>
        <w:tc>
          <w:tcPr>
            <w:tcW w:w="83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4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12" w:space="0"/>
              <w:right w:val="single" w:color="auto" w:sz="12" w:space="0"/>
              <w:tl2br w:val="nil"/>
              <w:tr2bl w:val="nil"/>
            </w:tcBorders>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pStyle w:val="2"/>
        <w:ind w:left="0" w:leftChars="0"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欧阳梦婷</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2025.6.12</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7830001</w:t>
      </w:r>
      <w:r>
        <w:rPr>
          <w:rFonts w:hint="eastAsia" w:asciiTheme="minorEastAsia" w:hAnsiTheme="minorEastAsia" w:eastAsiaTheme="minorEastAsia" w:cstheme="minorEastAsia"/>
          <w:sz w:val="24"/>
          <w:szCs w:val="24"/>
        </w:rPr>
        <w:t xml:space="preserve"> 单位负责人签</w:t>
      </w:r>
      <w:r>
        <w:rPr>
          <w:rFonts w:hint="eastAsia" w:asciiTheme="minorEastAsia" w:hAnsiTheme="minorEastAsia" w:eastAsiaTheme="minorEastAsia" w:cstheme="minorEastAsia"/>
          <w:sz w:val="24"/>
          <w:szCs w:val="24"/>
          <w:lang w:eastAsia="zh-CN"/>
        </w:rPr>
        <w:t>字：</w:t>
      </w:r>
    </w:p>
    <w:p>
      <w:pPr>
        <w:pStyle w:val="2"/>
        <w:ind w:left="0" w:leftChars="0" w:firstLine="0" w:firstLineChars="0"/>
        <w:rPr>
          <w:rFonts w:hint="eastAsia" w:asciiTheme="minorEastAsia" w:hAnsiTheme="minorEastAsia" w:eastAsiaTheme="minorEastAsia" w:cstheme="minorEastAsia"/>
          <w:sz w:val="24"/>
          <w:szCs w:val="24"/>
          <w:lang w:eastAsia="zh-CN"/>
        </w:rPr>
      </w:pPr>
    </w:p>
    <w:p>
      <w:pPr>
        <w:pStyle w:val="2"/>
        <w:ind w:left="0" w:leftChars="0" w:firstLine="0" w:firstLineChars="0"/>
        <w:rPr>
          <w:rFonts w:hint="eastAsia" w:asciiTheme="minorEastAsia" w:hAnsiTheme="minorEastAsia" w:eastAsiaTheme="minorEastAsia" w:cstheme="minorEastAsia"/>
          <w:sz w:val="24"/>
          <w:szCs w:val="24"/>
          <w:lang w:eastAsia="zh-CN"/>
        </w:rPr>
      </w:pPr>
    </w:p>
    <w:p>
      <w:pPr>
        <w:pStyle w:val="2"/>
        <w:ind w:left="0" w:leftChars="0" w:firstLine="0" w:firstLineChars="0"/>
        <w:rPr>
          <w:rFonts w:hint="default" w:asciiTheme="minorEastAsia" w:hAnsiTheme="minorEastAsia" w:eastAsiaTheme="minorEastAsia" w:cstheme="minorEastAsia"/>
          <w:sz w:val="24"/>
          <w:szCs w:val="24"/>
          <w:lang w:eastAsia="zh-CN"/>
        </w:rPr>
      </w:pPr>
      <w:bookmarkStart w:id="0" w:name="_GoBack"/>
      <w:bookmarkEnd w:id="0"/>
    </w:p>
    <w:sectPr>
      <w:footerReference r:id="rId10" w:type="default"/>
      <w:footerReference r:id="rId11" w:type="even"/>
      <w:pgSz w:w="11905" w:h="16837"/>
      <w:pgMar w:top="1440" w:right="1701" w:bottom="1440" w:left="1701" w:header="851" w:footer="1474" w:gutter="0"/>
      <w:pgNumType w:fmt="numberInDash" w:start="25"/>
      <w:cols w:space="0" w:num="1"/>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9" o:spid="_x0000_s102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eYE8nwwEAAHADAAAOAAAAAAAAAAEAIAAAAB4BAABkcnMvZTJvRG9jLnhtbFBL&#10;BQYAAAAABgAGAFkBAABTBQ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- 2 -</w:t>
                </w:r>
                <w:r>
                  <w:rPr>
                    <w:rFonts w:ascii="宋体" w:hAnsi="宋体" w:cs="宋体"/>
                    <w:szCs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d60o/sQBAABwAwAADgAAAAAAAAABACAAAAAeAQAAZHJzL2Uyb0RvYy54bWxQ&#10;SwUGAAAAAAYABgBZAQAAVA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3" o:spid="_x0000_s1033"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cpqVQMQBAABwAwAADgAAAAAAAAABACAAAAAeAQAAZHJzL2Uyb0RvYy54bWxQ&#10;SwUGAAAAAAYABgBZAQAAVA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- 13 -</w:t>
                </w:r>
                <w:r>
                  <w:rPr>
                    <w:rFonts w:ascii="宋体" w:hAnsi="宋体" w:cs="宋体"/>
                    <w:szCs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4" o:spid="_x0000_s1034"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9Jp7zCAQAAcQ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I6NUDcQBAABwAwAADgAAAAAAAAABACAAAAAeAQAAZHJzL2Uyb0RvYy54bWxQ&#10;SwUGAAAAAAYABgBZAQAAVAU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- 10 -</w:t>
                </w:r>
                <w:r>
                  <w:rPr>
                    <w:rFonts w:ascii="宋体" w:hAnsi="宋体" w:cs="宋体"/>
                    <w:szCs w:val="1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jYVnXCAQAAcA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文本框 1" o:spid="_x0000_s102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PVi9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08p8cLhiM5fv5y//Th//0yW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T1YvbCAQAAcA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hint="default" w:ascii="宋体" w:hAnsi="宋体" w:cs="宋体"/>
                    <w:szCs w:val="18"/>
                  </w:rPr>
                  <w:t>- 7 -</w:t>
                </w:r>
                <w:r>
                  <w:rPr>
                    <w:rFonts w:ascii="宋体" w:hAnsi="宋体" w:cs="宋体"/>
                    <w:szCs w:val="18"/>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margin" w:hAnchor="text" w:xAlign="left" w:yAlign="inline"/>
      <w:ind w:right="360" w:firstLine="360"/>
      <w:rPr>
        <w:rFonts w:hint="default"/>
      </w:rPr>
    </w:pPr>
    <w:r>
      <w:rPr>
        <w:rFonts w:hint="default"/>
      </w:rPr>
      <w:pict>
        <v:shape id="_x0000_s1027"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gUL1bCAQAAcAMAAA4AAAAAAAAAAQAgAAAAHgEAAGRycy9lMm9Eb2MueG1sUEsF&#10;BgAAAAAGAAYAWQEAAFIFAAAAAA==&#10;">
          <v:path/>
          <v:fill on="f" focussize="0,0"/>
          <v:stroke on="f" joinstyle="miter"/>
          <v:imagedata o:title=""/>
          <o:lock v:ext="edit"/>
          <v:textbox inset="0mm,0mm,0mm,0mm" style="mso-fit-shape-to-text:t;">
            <w:txbxContent>
              <w:p>
                <w:pPr>
                  <w:pStyle w:val="5"/>
                  <w:rPr>
                    <w:rFonts w:hint="default"/>
                  </w:rPr>
                </w:pPr>
                <w:r>
                  <w:rPr>
                    <w:rFonts w:ascii="宋体" w:hAnsi="宋体" w:cs="宋体"/>
                    <w:szCs w:val="18"/>
                  </w:rPr>
                  <w:fldChar w:fldCharType="begin"/>
                </w:r>
                <w:r>
                  <w:rPr>
                    <w:rFonts w:ascii="宋体" w:hAnsi="宋体" w:cs="宋体"/>
                    <w:szCs w:val="18"/>
                  </w:rPr>
                  <w:instrText xml:space="preserve"> PAGE  \* MERGEFORMAT </w:instrText>
                </w:r>
                <w:r>
                  <w:rPr>
                    <w:rFonts w:ascii="宋体" w:hAnsi="宋体" w:cs="宋体"/>
                    <w:szCs w:val="18"/>
                  </w:rPr>
                  <w:fldChar w:fldCharType="separate"/>
                </w:r>
                <w:r>
                  <w:rPr>
                    <w:rFonts w:ascii="宋体" w:hAnsi="宋体" w:cs="宋体"/>
                    <w:szCs w:val="18"/>
                  </w:rPr>
                  <w:t>- 2 -</w:t>
                </w:r>
                <w:r>
                  <w:rPr>
                    <w:rFonts w:ascii="宋体" w:hAnsi="宋体" w:cs="宋体"/>
                    <w:szCs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p>
  <w:p>
    <w:pPr>
      <w:pStyle w:val="6"/>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633917BD"/>
    <w:multiLevelType w:val="singleLevel"/>
    <w:tmpl w:val="633917BD"/>
    <w:lvl w:ilvl="0" w:tentative="0">
      <w:start w:val="5"/>
      <w:numFmt w:val="chineseCounting"/>
      <w:suff w:val="nothing"/>
      <w:lvlText w:val="%1、"/>
      <w:lvlJc w:val="left"/>
      <w:rPr>
        <w:rFonts w:hint="eastAsia"/>
      </w:rPr>
    </w:lvl>
  </w:abstractNum>
  <w:abstractNum w:abstractNumId="2">
    <w:nsid w:val="68EAEAED"/>
    <w:multiLevelType w:val="singleLevel"/>
    <w:tmpl w:val="68EAEAED"/>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䔠匰⏐਑᜸਑저ž᜸਑২ৰ"/>
  </w:docVars>
  <w:rsids>
    <w:rsidRoot w:val="00172A27"/>
    <w:rsid w:val="00006E1F"/>
    <w:rsid w:val="00064FA0"/>
    <w:rsid w:val="00085410"/>
    <w:rsid w:val="000E5CDC"/>
    <w:rsid w:val="00172A27"/>
    <w:rsid w:val="003258FE"/>
    <w:rsid w:val="003B427D"/>
    <w:rsid w:val="00471672"/>
    <w:rsid w:val="004763B4"/>
    <w:rsid w:val="004C0869"/>
    <w:rsid w:val="004E19E8"/>
    <w:rsid w:val="00553A83"/>
    <w:rsid w:val="00582936"/>
    <w:rsid w:val="007A1D11"/>
    <w:rsid w:val="007B13A8"/>
    <w:rsid w:val="00856B36"/>
    <w:rsid w:val="008B0547"/>
    <w:rsid w:val="008F36DA"/>
    <w:rsid w:val="00964D18"/>
    <w:rsid w:val="00A873C1"/>
    <w:rsid w:val="00C170F5"/>
    <w:rsid w:val="00CC3970"/>
    <w:rsid w:val="00E251DA"/>
    <w:rsid w:val="00E61343"/>
    <w:rsid w:val="00F221AB"/>
    <w:rsid w:val="012D7EA3"/>
    <w:rsid w:val="020704B3"/>
    <w:rsid w:val="09B5725D"/>
    <w:rsid w:val="0B0F7863"/>
    <w:rsid w:val="0CCE5073"/>
    <w:rsid w:val="0D12453D"/>
    <w:rsid w:val="0DC80609"/>
    <w:rsid w:val="101F3C57"/>
    <w:rsid w:val="105E064F"/>
    <w:rsid w:val="11A534F9"/>
    <w:rsid w:val="1353337D"/>
    <w:rsid w:val="1457163D"/>
    <w:rsid w:val="154B3473"/>
    <w:rsid w:val="15B02F86"/>
    <w:rsid w:val="18542007"/>
    <w:rsid w:val="1BCE59A7"/>
    <w:rsid w:val="1CD63084"/>
    <w:rsid w:val="1D5E5630"/>
    <w:rsid w:val="1F9C1D8C"/>
    <w:rsid w:val="20BA3D5C"/>
    <w:rsid w:val="20FE29CD"/>
    <w:rsid w:val="213827F6"/>
    <w:rsid w:val="23E90662"/>
    <w:rsid w:val="24756501"/>
    <w:rsid w:val="2AF82401"/>
    <w:rsid w:val="2B387C82"/>
    <w:rsid w:val="2BDF65F0"/>
    <w:rsid w:val="2F7820F4"/>
    <w:rsid w:val="31180DB8"/>
    <w:rsid w:val="31C93F2B"/>
    <w:rsid w:val="31EF3498"/>
    <w:rsid w:val="32134DB6"/>
    <w:rsid w:val="33457B5A"/>
    <w:rsid w:val="33EA0D37"/>
    <w:rsid w:val="364C74D1"/>
    <w:rsid w:val="36A57DAA"/>
    <w:rsid w:val="3A1676E0"/>
    <w:rsid w:val="3DFB432B"/>
    <w:rsid w:val="41A60F90"/>
    <w:rsid w:val="437042B4"/>
    <w:rsid w:val="43D25C86"/>
    <w:rsid w:val="446461A2"/>
    <w:rsid w:val="465E1623"/>
    <w:rsid w:val="47FF7E2A"/>
    <w:rsid w:val="4833345E"/>
    <w:rsid w:val="4946176D"/>
    <w:rsid w:val="4A7E5437"/>
    <w:rsid w:val="4B400BED"/>
    <w:rsid w:val="4B490F32"/>
    <w:rsid w:val="4B564457"/>
    <w:rsid w:val="4C575977"/>
    <w:rsid w:val="4DF30F3A"/>
    <w:rsid w:val="4E8B7C40"/>
    <w:rsid w:val="4F1637A4"/>
    <w:rsid w:val="500F1BD2"/>
    <w:rsid w:val="51C40746"/>
    <w:rsid w:val="51E06209"/>
    <w:rsid w:val="543E6CC0"/>
    <w:rsid w:val="55412274"/>
    <w:rsid w:val="55C03679"/>
    <w:rsid w:val="57C446E9"/>
    <w:rsid w:val="57F63CE9"/>
    <w:rsid w:val="58820FB8"/>
    <w:rsid w:val="594F3031"/>
    <w:rsid w:val="5ABA52A9"/>
    <w:rsid w:val="5C480A10"/>
    <w:rsid w:val="5C8E01AF"/>
    <w:rsid w:val="5D1A6D3D"/>
    <w:rsid w:val="606F3DC9"/>
    <w:rsid w:val="60D813BC"/>
    <w:rsid w:val="6229426D"/>
    <w:rsid w:val="629D0130"/>
    <w:rsid w:val="629D4556"/>
    <w:rsid w:val="62BE6D8B"/>
    <w:rsid w:val="64E742EF"/>
    <w:rsid w:val="684B0AD7"/>
    <w:rsid w:val="6B7C3D42"/>
    <w:rsid w:val="6E351362"/>
    <w:rsid w:val="6E4528B3"/>
    <w:rsid w:val="6E751F61"/>
    <w:rsid w:val="6F1720AE"/>
    <w:rsid w:val="73076EA6"/>
    <w:rsid w:val="75073918"/>
    <w:rsid w:val="771A18F7"/>
    <w:rsid w:val="78D10F49"/>
    <w:rsid w:val="7CB1434C"/>
    <w:rsid w:val="7E991F23"/>
    <w:rsid w:val="7EB5519D"/>
    <w:rsid w:val="AFD5A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eastAsia" w:ascii="Times New Roman" w:hAnsi="Times New Roman" w:eastAsia="Times New Roman"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qFormat/>
    <w:uiPriority w:val="99"/>
    <w:pPr>
      <w:ind w:firstLine="420" w:firstLineChars="200"/>
    </w:pPr>
  </w:style>
  <w:style w:type="paragraph" w:styleId="5">
    <w:name w:val="footer"/>
    <w:basedOn w:val="1"/>
    <w:unhideWhenUsed/>
    <w:qFormat/>
    <w:uiPriority w:val="0"/>
    <w:pPr>
      <w:framePr w:wrap="around" w:vAnchor="text" w:hAnchor="margin" w:xAlign="outside" w:y="1"/>
      <w:tabs>
        <w:tab w:val="center" w:pos="4153"/>
        <w:tab w:val="right" w:pos="8306"/>
      </w:tabs>
      <w:snapToGrid w:val="0"/>
      <w:jc w:val="left"/>
    </w:pPr>
    <w:rPr>
      <w:kern w:val="0"/>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0"/>
    <w:pPr>
      <w:spacing w:beforeAutospacing="1" w:afterAutospacing="1"/>
      <w:jc w:val="left"/>
    </w:pPr>
    <w:rPr>
      <w:rFonts w:hint="default" w:ascii="Calibri" w:hAnsi="Calibri" w:eastAsia="宋体"/>
      <w:kern w:val="0"/>
      <w:sz w:val="24"/>
    </w:rPr>
  </w:style>
  <w:style w:type="paragraph" w:customStyle="1" w:styleId="10">
    <w:name w:val="列出段落1"/>
    <w:basedOn w:val="1"/>
    <w:unhideWhenUsed/>
    <w:qFormat/>
    <w:uiPriority w:val="34"/>
    <w:pPr>
      <w:ind w:firstLine="420" w:firstLineChars="200"/>
    </w:pPr>
    <w:rPr>
      <w:rFonts w:ascii="仿宋" w:hAnsi="仿宋" w:eastAsia="仿宋"/>
      <w:kern w:val="0"/>
      <w:sz w:val="28"/>
    </w:rPr>
  </w:style>
  <w:style w:type="paragraph" w:customStyle="1" w:styleId="11">
    <w:name w:val="列出段落2"/>
    <w:basedOn w:val="1"/>
    <w:unhideWhenUsed/>
    <w:qFormat/>
    <w:uiPriority w:val="99"/>
    <w:pPr>
      <w:ind w:firstLine="420" w:firstLineChars="200"/>
    </w:pPr>
    <w:rPr>
      <w:rFonts w:hint="default" w:ascii="Calibri" w:hAnsi="Calibri"/>
      <w:kern w:val="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9"/>
    <customShpInfo spid="_x0000_s1030"/>
    <customShpInfo spid="_x0000_s1033"/>
    <customShpInfo spid="_x0000_s1034"/>
    <customShpInfo spid="_x0000_s1031"/>
    <customShpInfo spid="_x0000_s1032"/>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3373</Words>
  <Characters>3471</Characters>
  <Lines>18</Lines>
  <Paragraphs>5</Paragraphs>
  <TotalTime>2</TotalTime>
  <ScaleCrop>false</ScaleCrop>
  <LinksUpToDate>false</LinksUpToDate>
  <CharactersWithSpaces>3483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2025-05-30T11:45:00Z</dcterms:created>
  <dc:creator>海之韵</dc:creator>
  <cp:lastModifiedBy>kylin</cp:lastModifiedBy>
  <cp:lastPrinted>2025-06-13T13:07:00Z</cp:lastPrinted>
  <dcterms:modified xsi:type="dcterms:W3CDTF">2025-09-16T17:06:57Z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DD7F033811E1461FA027F064140781A2_13</vt:lpwstr>
  </property>
  <property fmtid="{D5CDD505-2E9C-101B-9397-08002B2CF9AE}" pid="4" name="KSOTemplateDocerSaveRecord">
    <vt:lpwstr>eyJoZGlkIjoiMjM4NTkzZDg2N2JhY2QyMGZkYzZlODY0M2E2YzIyYjYiLCJ1c2VySWQiOiIxNTMzNjU4NTg5In0=</vt:lpwstr>
  </property>
</Properties>
</file>