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Chars="0" w:firstLine="0" w:firstLineChars="0"/>
        <w:rPr>
          <w:rFonts w:eastAsia="仿宋_GB2312"/>
        </w:rPr>
      </w:pPr>
    </w:p>
    <w:p>
      <w:pPr>
        <w:pStyle w:val="2"/>
        <w:ind w:leftChars="0" w:firstLine="0" w:firstLineChars="0"/>
        <w:rPr>
          <w:rFonts w:hint="default" w:eastAsia="仿宋_GB2312"/>
        </w:rPr>
      </w:pP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2024年度水利局整体支出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单位名称（盖章）：双牌县</w:t>
      </w:r>
      <w:r>
        <w:rPr>
          <w:rFonts w:hint="default" w:eastAsia="仿宋_GB2312"/>
          <w:sz w:val="32"/>
        </w:rPr>
        <w:t>水利局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 xml:space="preserve">2025年 </w:t>
      </w:r>
      <w:r>
        <w:rPr>
          <w:rFonts w:hint="default" w:eastAsia="楷体_GB2312"/>
          <w:sz w:val="32"/>
        </w:rPr>
        <w:t>6</w:t>
      </w:r>
      <w:r>
        <w:rPr>
          <w:rFonts w:eastAsia="楷体_GB2312"/>
          <w:sz w:val="32"/>
        </w:rPr>
        <w:t xml:space="preserve"> 月 </w:t>
      </w:r>
      <w:r>
        <w:rPr>
          <w:rFonts w:hint="default" w:eastAsia="楷体_GB2312"/>
          <w:sz w:val="32"/>
        </w:rPr>
        <w:t>12</w:t>
      </w:r>
      <w:r>
        <w:rPr>
          <w:rFonts w:eastAsia="楷体_GB2312"/>
          <w:sz w:val="32"/>
        </w:rPr>
        <w:t xml:space="preserve"> 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6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Times New Roman"/>
          <w:sz w:val="32"/>
          <w:szCs w:val="32"/>
        </w:rPr>
      </w:pPr>
      <w:r>
        <w:rPr>
          <w:rFonts w:ascii="仿宋_GB2312" w:eastAsia="仿宋_GB2312"/>
          <w:sz w:val="32"/>
        </w:rPr>
        <w:t>（一）</w:t>
      </w:r>
      <w:r>
        <w:rPr>
          <w:rFonts w:ascii="楷体_GB2312" w:hAnsi="楷体_GB2312" w:eastAsia="楷体_GB2312" w:cs="Times New Roman"/>
          <w:sz w:val="32"/>
          <w:szCs w:val="32"/>
        </w:rPr>
        <w:t>部门（单位）基本情况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双牌县水利局为公务员管理的行政单位，内设2室5股1中心，分别为办公室、财务股、水旱灾害防御中心、农村水利水电股、水利工程运行管理股、行政审批股、河长制办公室、监督股。202</w:t>
      </w:r>
      <w:r>
        <w:rPr>
          <w:rFonts w:hint="default" w:ascii="仿宋_GB2312" w:hAnsi="仿宋_GB2312" w:eastAsia="仿宋_GB2312" w:cs="Times New Roman"/>
          <w:color w:val="000000"/>
          <w:sz w:val="32"/>
          <w:szCs w:val="32"/>
        </w:rPr>
        <w:t>4</w:t>
      </w:r>
      <w:r>
        <w:rPr>
          <w:rFonts w:ascii="仿宋_GB2312" w:hAnsi="仿宋_GB2312" w:eastAsia="仿宋_GB2312" w:cs="Times New Roman"/>
          <w:color w:val="000000"/>
          <w:sz w:val="32"/>
          <w:szCs w:val="32"/>
        </w:rPr>
        <w:t>年本单位年未实有人数</w:t>
      </w:r>
      <w:r>
        <w:rPr>
          <w:rFonts w:hint="default" w:ascii="仿宋_GB2312" w:hAnsi="仿宋_GB2312" w:eastAsia="仿宋_GB2312" w:cs="Times New Roman"/>
          <w:color w:val="000000"/>
          <w:sz w:val="32"/>
          <w:szCs w:val="32"/>
        </w:rPr>
        <w:t>32</w:t>
      </w:r>
      <w:r>
        <w:rPr>
          <w:rFonts w:ascii="仿宋_GB2312" w:hAnsi="仿宋_GB2312" w:eastAsia="仿宋_GB2312" w:cs="Times New Roman"/>
          <w:color w:val="000000"/>
          <w:sz w:val="32"/>
          <w:szCs w:val="32"/>
        </w:rPr>
        <w:t>人，比上年减少了1人。人员变化的主要原因是：退休人员</w:t>
      </w:r>
      <w:r>
        <w:rPr>
          <w:rFonts w:hint="default" w:ascii="仿宋_GB2312" w:hAnsi="仿宋_GB2312" w:eastAsia="仿宋_GB2312" w:cs="Times New Roman"/>
          <w:color w:val="000000"/>
          <w:sz w:val="32"/>
          <w:szCs w:val="32"/>
        </w:rPr>
        <w:t>的增加</w:t>
      </w:r>
      <w:r>
        <w:rPr>
          <w:rFonts w:ascii="仿宋_GB2312" w:hAnsi="仿宋_GB2312" w:eastAsia="仿宋_GB2312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Times New Roman"/>
          <w:sz w:val="32"/>
          <w:szCs w:val="32"/>
        </w:rPr>
      </w:pPr>
      <w:r>
        <w:rPr>
          <w:rFonts w:ascii="仿宋_GB2312" w:eastAsia="仿宋_GB2312"/>
          <w:sz w:val="32"/>
        </w:rPr>
        <w:t>（二）</w:t>
      </w:r>
      <w:r>
        <w:rPr>
          <w:rFonts w:ascii="楷体_GB2312" w:hAnsi="楷体_GB2312" w:eastAsia="楷体_GB2312" w:cs="Times New Roman"/>
          <w:sz w:val="32"/>
          <w:szCs w:val="32"/>
        </w:rPr>
        <w:t>部门（单位）年度整体支出绩效目标，项目支出绩效目标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1、整体支出绩效目标：贯彻执行国家、省、市有关水利工作的方针政策和法律法规；研究拟定全县水利工作的政策规定；研究拟定全县水利发展战略、中长期规划、年度计划及全县主要河道、县际河流的流域综合规划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2、项目支出绩效目标：保障局机关持续正常运转，完成水利项目建设。</w:t>
      </w:r>
    </w:p>
    <w:p>
      <w:pPr>
        <w:spacing w:line="56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</w:p>
    <w:p>
      <w:pPr>
        <w:pStyle w:val="10"/>
        <w:spacing w:line="56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0"/>
        <w:spacing w:line="56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pStyle w:val="10"/>
        <w:spacing w:line="56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2024</w:t>
      </w:r>
      <w:r>
        <w:rPr>
          <w:rFonts w:hint="eastAsia" w:ascii="Times New Roman" w:hAnsi="Times New Roman" w:eastAsia="仿宋_GB2312" w:cs="宋体"/>
          <w:sz w:val="32"/>
        </w:rPr>
        <w:t>年度一般公共预算财政拨款支出</w:t>
      </w:r>
      <w:r>
        <w:rPr>
          <w:rFonts w:ascii="Times New Roman" w:hAnsi="Times New Roman" w:eastAsia="仿宋_GB2312"/>
          <w:sz w:val="32"/>
        </w:rPr>
        <w:t>4283.98</w:t>
      </w:r>
      <w:r>
        <w:rPr>
          <w:rFonts w:hint="eastAsia" w:ascii="Times New Roman" w:hAnsi="Times New Roman" w:eastAsia="仿宋_GB2312" w:cs="宋体"/>
          <w:sz w:val="32"/>
        </w:rPr>
        <w:t>万元，其中：基本支出合计</w:t>
      </w:r>
      <w:r>
        <w:rPr>
          <w:rFonts w:ascii="Times New Roman" w:hAnsi="Times New Roman" w:eastAsia="仿宋_GB2312"/>
          <w:sz w:val="32"/>
        </w:rPr>
        <w:t>469.84</w:t>
      </w:r>
      <w:r>
        <w:rPr>
          <w:rFonts w:hint="eastAsia" w:ascii="Times New Roman" w:hAnsi="Times New Roman" w:eastAsia="仿宋_GB2312" w:cs="宋体"/>
          <w:sz w:val="32"/>
        </w:rPr>
        <w:t>万元，其中：人员经费</w:t>
      </w:r>
      <w:r>
        <w:rPr>
          <w:rFonts w:ascii="Times New Roman" w:hAnsi="Times New Roman" w:eastAsia="仿宋_GB2312"/>
          <w:sz w:val="32"/>
        </w:rPr>
        <w:t>428.95</w:t>
      </w:r>
      <w:r>
        <w:rPr>
          <w:rFonts w:hint="eastAsia" w:ascii="Times New Roman" w:hAnsi="Times New Roman" w:eastAsia="仿宋_GB2312" w:cs="宋体"/>
          <w:sz w:val="32"/>
        </w:rPr>
        <w:t>万元，占一般公共预算财政拨款基本支出合计的</w:t>
      </w:r>
      <w:r>
        <w:rPr>
          <w:rFonts w:ascii="Times New Roman" w:hAnsi="Times New Roman" w:eastAsia="仿宋_GB2312"/>
          <w:sz w:val="32"/>
        </w:rPr>
        <w:t>10%</w:t>
      </w:r>
      <w:r>
        <w:rPr>
          <w:rFonts w:hint="eastAsia" w:ascii="Times New Roman" w:hAnsi="Times New Roman" w:eastAsia="仿宋_GB2312" w:cs="宋体"/>
          <w:sz w:val="32"/>
        </w:rPr>
        <w:t>，主要包括基本工资、津贴补贴、奖金、绩效工资、机关事业单位基本养老保险缴费、职业年金缴费、职工基本医疗保险缴费、公务员医疗补助缴费、住房公积金、其他社会保障缴费、其他工资福利支出、离休费、退休费、抚恤金、生活补助、医疗费补助、奖励金、其他对个人和家庭的补助支出；日常公用经费</w:t>
      </w:r>
      <w:r>
        <w:rPr>
          <w:rFonts w:ascii="Times New Roman" w:hAnsi="Times New Roman" w:eastAsia="仿宋_GB2312"/>
          <w:sz w:val="32"/>
        </w:rPr>
        <w:t>40.89</w:t>
      </w:r>
      <w:r>
        <w:rPr>
          <w:rFonts w:hint="eastAsia" w:ascii="Times New Roman" w:hAnsi="Times New Roman" w:eastAsia="仿宋_GB2312" w:cs="宋体"/>
          <w:sz w:val="32"/>
        </w:rPr>
        <w:t>万元，占一般公共预算财政拨款基本支出合计的</w:t>
      </w:r>
      <w:r>
        <w:rPr>
          <w:rFonts w:ascii="Times New Roman" w:hAnsi="Times New Roman" w:eastAsia="仿宋_GB2312"/>
          <w:sz w:val="32"/>
        </w:rPr>
        <w:t>0.95%</w:t>
      </w:r>
      <w:r>
        <w:rPr>
          <w:rFonts w:hint="eastAsia" w:ascii="Times New Roman" w:hAnsi="Times New Roman" w:eastAsia="仿宋_GB2312" w:cs="宋体"/>
          <w:sz w:val="32"/>
        </w:rPr>
        <w:t>，主要包括办公费、印刷费、咨询费、手续费、水费、电费、邮电费、物业管理费、差旅费、维修（护）费、会议费、培训费、公务接待费、劳务费、委托业务费、工会经费、福利费、公务用车运行维护费、其他交通费用、其他商品和服务支出、办公设备购置、专用设备购置、信息网络及软件购置更新、公务用车购置、其他资本性支出</w:t>
      </w:r>
    </w:p>
    <w:p>
      <w:pPr>
        <w:pStyle w:val="10"/>
        <w:spacing w:line="56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（二）项目支出情况</w:t>
      </w:r>
    </w:p>
    <w:p>
      <w:pPr>
        <w:pStyle w:val="10"/>
        <w:spacing w:line="56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项目支出合计3814.14万元，占财政拨款支出合计的89%。主要用于：节能环保（类）支出、农林水（类）支出。</w:t>
      </w:r>
    </w:p>
    <w:p>
      <w:pPr>
        <w:pStyle w:val="10"/>
        <w:spacing w:line="56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>
      <w:pPr>
        <w:pStyle w:val="10"/>
        <w:spacing w:line="56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</w:t>
      </w:r>
    </w:p>
    <w:p>
      <w:pPr>
        <w:pStyle w:val="10"/>
        <w:spacing w:line="56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10"/>
        <w:spacing w:line="56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</w:t>
      </w:r>
    </w:p>
    <w:p>
      <w:pPr>
        <w:pStyle w:val="10"/>
        <w:spacing w:line="56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10"/>
        <w:spacing w:line="56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spacing w:line="56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spacing w:line="560" w:lineRule="exact"/>
        <w:ind w:firstLine="645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根据《部门整体支出绩效评价指标》评分，得分</w:t>
      </w:r>
      <w:r>
        <w:rPr>
          <w:rFonts w:hint="default" w:eastAsia="仿宋_GB2312"/>
          <w:color w:val="000000"/>
          <w:sz w:val="32"/>
        </w:rPr>
        <w:t>100</w:t>
      </w:r>
      <w:r>
        <w:rPr>
          <w:rFonts w:eastAsia="仿宋_GB2312"/>
          <w:color w:val="000000"/>
          <w:sz w:val="32"/>
        </w:rPr>
        <w:t>分（详见附件</w:t>
      </w:r>
      <w:r>
        <w:rPr>
          <w:rFonts w:hint="default" w:eastAsia="仿宋_GB2312"/>
          <w:color w:val="000000"/>
          <w:sz w:val="32"/>
        </w:rPr>
        <w:t>2</w:t>
      </w:r>
      <w:r>
        <w:rPr>
          <w:rFonts w:eastAsia="仿宋_GB2312"/>
          <w:color w:val="000000"/>
          <w:sz w:val="32"/>
        </w:rPr>
        <w:t>：部门整体支出绩效自评表）。主要绩效如下：</w:t>
      </w:r>
    </w:p>
    <w:p>
      <w:pPr>
        <w:spacing w:line="560" w:lineRule="exact"/>
        <w:ind w:firstLine="645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从经济性情况分析看，预算资金覆盖各个需求方面，</w:t>
      </w:r>
      <w:r>
        <w:rPr>
          <w:rFonts w:hint="default" w:eastAsia="仿宋_GB2312"/>
          <w:color w:val="000000"/>
          <w:sz w:val="32"/>
        </w:rPr>
        <w:t>“</w:t>
      </w:r>
      <w:r>
        <w:rPr>
          <w:rFonts w:eastAsia="仿宋_GB2312"/>
          <w:color w:val="000000"/>
          <w:sz w:val="32"/>
        </w:rPr>
        <w:t>三公</w:t>
      </w:r>
      <w:r>
        <w:rPr>
          <w:rFonts w:hint="default" w:eastAsia="仿宋_GB2312"/>
          <w:color w:val="000000"/>
          <w:sz w:val="32"/>
        </w:rPr>
        <w:t>”</w:t>
      </w:r>
      <w:r>
        <w:rPr>
          <w:rFonts w:eastAsia="仿宋_GB2312"/>
          <w:color w:val="000000"/>
          <w:sz w:val="32"/>
        </w:rPr>
        <w:t>经费预算没有超过上年预算安排。</w:t>
      </w:r>
      <w:r>
        <w:rPr>
          <w:rFonts w:hint="default" w:eastAsia="仿宋_GB2312"/>
          <w:color w:val="000000"/>
          <w:sz w:val="32"/>
        </w:rPr>
        <w:t>2024</w:t>
      </w:r>
      <w:r>
        <w:rPr>
          <w:rFonts w:eastAsia="仿宋_GB2312"/>
          <w:color w:val="000000"/>
          <w:sz w:val="32"/>
        </w:rPr>
        <w:t>年预算资金能保障单位正常运转需要，分配办法科学，考虑的因素必要合理，分配的结果合理，能基本保证人员经费支出和机构全年工作运</w:t>
      </w:r>
    </w:p>
    <w:p>
      <w:pPr>
        <w:spacing w:line="560" w:lineRule="exact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转。</w:t>
      </w:r>
    </w:p>
    <w:p>
      <w:pPr>
        <w:spacing w:line="560" w:lineRule="exact"/>
        <w:ind w:firstLine="645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>
      <w:pPr>
        <w:spacing w:line="560" w:lineRule="exact"/>
        <w:ind w:firstLine="645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从有效性情况分析看，夯实基层力量，提高基层干部工作积极性，全面整合职能和资源，提升干部办事效率，优化服务质量；群众得益多，幸福感提高。</w:t>
      </w:r>
    </w:p>
    <w:p>
      <w:pPr>
        <w:spacing w:line="560" w:lineRule="exact"/>
        <w:ind w:firstLine="645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从可持续性分析看，需加大人力、资金投入。结合实际，建设水利工程，造福百姓。</w:t>
      </w:r>
    </w:p>
    <w:p>
      <w:pPr>
        <w:pStyle w:val="10"/>
        <w:spacing w:line="56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560" w:lineRule="exact"/>
        <w:ind w:firstLine="640" w:firstLineChars="200"/>
        <w:jc w:val="left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主要反映各种预算支出执行偏离绩效目标的情况，并分析其原因。</w:t>
      </w:r>
    </w:p>
    <w:p>
      <w:pPr>
        <w:spacing w:line="560" w:lineRule="exact"/>
        <w:ind w:firstLine="640" w:firstLineChars="200"/>
        <w:jc w:val="left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1</w:t>
      </w:r>
      <w:r>
        <w:rPr>
          <w:rFonts w:eastAsia="仿宋_GB2312"/>
          <w:color w:val="000000"/>
          <w:sz w:val="32"/>
        </w:rPr>
        <w:t>、预算执行率率有待提高。由于预算项目未实施或未及时报账导致年末预算资金未形成支出。</w:t>
      </w:r>
    </w:p>
    <w:p>
      <w:pPr>
        <w:spacing w:line="560" w:lineRule="exact"/>
        <w:ind w:firstLine="640" w:firstLineChars="200"/>
        <w:jc w:val="left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2</w:t>
      </w:r>
      <w:r>
        <w:rPr>
          <w:rFonts w:eastAsia="仿宋_GB2312"/>
          <w:color w:val="000000"/>
          <w:sz w:val="32"/>
        </w:rPr>
        <w:t>、专项资金少，资金压力大。</w:t>
      </w:r>
    </w:p>
    <w:p>
      <w:pPr>
        <w:spacing w:line="560" w:lineRule="exact"/>
        <w:ind w:firstLine="640" w:firstLineChars="200"/>
        <w:jc w:val="left"/>
        <w:rPr>
          <w:rFonts w:hint="default" w:eastAsia="仿宋_GB2312"/>
          <w:sz w:val="32"/>
        </w:rPr>
      </w:pPr>
      <w:r>
        <w:rPr>
          <w:rFonts w:hint="default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line="56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spacing w:line="56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1</w:t>
      </w:r>
      <w:r>
        <w:rPr>
          <w:rFonts w:eastAsia="仿宋_GB2312"/>
          <w:color w:val="000000"/>
          <w:sz w:val="32"/>
        </w:rPr>
        <w:t>、细化预算编制工作，认真做好预算的编制。进一步加强内设机构的预算管理意识，严格按照预算编制的相关制度和要求进行预算编制。</w:t>
      </w:r>
    </w:p>
    <w:p>
      <w:pPr>
        <w:spacing w:line="56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2</w:t>
      </w:r>
      <w:r>
        <w:rPr>
          <w:rFonts w:eastAsia="仿宋_GB2312"/>
          <w:color w:val="000000"/>
          <w:sz w:val="32"/>
        </w:rPr>
        <w:t>、加强财务管理，严格财务审核。加强单位财务管理，健全单位财务管理制度体系，规范单位财务行为。在费用报账</w:t>
      </w:r>
    </w:p>
    <w:p>
      <w:pPr>
        <w:spacing w:line="560" w:lineRule="exact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支付时，按照预算规定的费用项目和用途进行资金使用审核、财务严格核算，杜绝超支现象的发生。</w:t>
      </w:r>
    </w:p>
    <w:p>
      <w:pPr>
        <w:spacing w:line="56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、严格编制政府采购年初预算和计划，规范各类资产的购置审批制度、资产采购制度、使用管理制度、资产处置和报废审批制度、资产管理岗位职责制度等。严格控制</w:t>
      </w:r>
      <w:r>
        <w:rPr>
          <w:rFonts w:hint="default" w:eastAsia="仿宋_GB2312"/>
          <w:color w:val="000000"/>
          <w:sz w:val="32"/>
        </w:rPr>
        <w:t>“</w:t>
      </w:r>
      <w:r>
        <w:rPr>
          <w:rFonts w:eastAsia="仿宋_GB2312"/>
          <w:color w:val="000000"/>
          <w:sz w:val="32"/>
        </w:rPr>
        <w:t>三公</w:t>
      </w:r>
      <w:r>
        <w:rPr>
          <w:rFonts w:hint="default" w:eastAsia="仿宋_GB2312"/>
          <w:color w:val="000000"/>
          <w:sz w:val="32"/>
        </w:rPr>
        <w:t>”</w:t>
      </w:r>
      <w:r>
        <w:rPr>
          <w:rFonts w:eastAsia="仿宋_GB2312"/>
          <w:color w:val="000000"/>
          <w:sz w:val="32"/>
        </w:rPr>
        <w:t>经费的规模和比例，把关</w:t>
      </w:r>
      <w:r>
        <w:rPr>
          <w:rFonts w:hint="default" w:eastAsia="仿宋_GB2312"/>
          <w:color w:val="000000"/>
          <w:sz w:val="32"/>
        </w:rPr>
        <w:t>“</w:t>
      </w:r>
      <w:r>
        <w:rPr>
          <w:rFonts w:eastAsia="仿宋_GB2312"/>
          <w:color w:val="000000"/>
          <w:sz w:val="32"/>
        </w:rPr>
        <w:t>三公</w:t>
      </w:r>
      <w:r>
        <w:rPr>
          <w:rFonts w:hint="default" w:eastAsia="仿宋_GB2312"/>
          <w:color w:val="000000"/>
          <w:sz w:val="32"/>
        </w:rPr>
        <w:t>”</w:t>
      </w:r>
      <w:r>
        <w:rPr>
          <w:rFonts w:eastAsia="仿宋_GB2312"/>
          <w:color w:val="000000"/>
          <w:sz w:val="32"/>
        </w:rPr>
        <w:t>经费支出的审核、审批，进一步细化</w:t>
      </w:r>
      <w:r>
        <w:rPr>
          <w:rFonts w:hint="default" w:eastAsia="仿宋_GB2312"/>
          <w:color w:val="000000"/>
          <w:sz w:val="32"/>
        </w:rPr>
        <w:t>“</w:t>
      </w:r>
      <w:r>
        <w:rPr>
          <w:rFonts w:eastAsia="仿宋_GB2312"/>
          <w:color w:val="000000"/>
          <w:sz w:val="32"/>
        </w:rPr>
        <w:t>三公</w:t>
      </w:r>
      <w:r>
        <w:rPr>
          <w:rFonts w:hint="default" w:eastAsia="仿宋_GB2312"/>
          <w:color w:val="000000"/>
          <w:sz w:val="32"/>
        </w:rPr>
        <w:t>”</w:t>
      </w:r>
      <w:r>
        <w:rPr>
          <w:rFonts w:eastAsia="仿宋_GB2312"/>
          <w:color w:val="000000"/>
          <w:sz w:val="32"/>
        </w:rPr>
        <w:t>经费的管理，合理压缩</w:t>
      </w:r>
      <w:r>
        <w:rPr>
          <w:rFonts w:hint="default" w:eastAsia="仿宋_GB2312"/>
          <w:color w:val="000000"/>
          <w:sz w:val="32"/>
        </w:rPr>
        <w:t>“</w:t>
      </w:r>
      <w:r>
        <w:rPr>
          <w:rFonts w:eastAsia="仿宋_GB2312"/>
          <w:color w:val="000000"/>
          <w:sz w:val="32"/>
        </w:rPr>
        <w:t>三公</w:t>
      </w:r>
      <w:r>
        <w:rPr>
          <w:rFonts w:hint="default" w:eastAsia="仿宋_GB2312"/>
          <w:color w:val="000000"/>
          <w:sz w:val="32"/>
        </w:rPr>
        <w:t>”</w:t>
      </w:r>
      <w:r>
        <w:rPr>
          <w:rFonts w:eastAsia="仿宋_GB2312"/>
          <w:color w:val="000000"/>
          <w:sz w:val="32"/>
        </w:rPr>
        <w:t>经费支出。</w:t>
      </w:r>
    </w:p>
    <w:p>
      <w:pPr>
        <w:spacing w:line="560" w:lineRule="exact"/>
        <w:ind w:firstLine="640" w:firstLineChars="200"/>
        <w:jc w:val="left"/>
        <w:outlineLvl w:val="0"/>
        <w:rPr>
          <w:rFonts w:hint="default" w:eastAsia="仿宋_GB2312"/>
          <w:color w:val="000000"/>
          <w:sz w:val="32"/>
        </w:rPr>
      </w:pPr>
      <w:r>
        <w:rPr>
          <w:rFonts w:hint="default" w:eastAsia="仿宋_GB2312"/>
          <w:color w:val="000000"/>
          <w:sz w:val="32"/>
        </w:rPr>
        <w:t>4</w:t>
      </w:r>
      <w:r>
        <w:rPr>
          <w:rFonts w:eastAsia="仿宋_GB2312"/>
          <w:color w:val="000000"/>
          <w:sz w:val="32"/>
        </w:rPr>
        <w:t>、对相关人员加强培训，特别是针对《预算法》、《行政事业单位会计制度》等学习培训，规范部门预算收支核算，切实提高部门预算收支管理水平。</w:t>
      </w:r>
    </w:p>
    <w:p>
      <w:pPr>
        <w:spacing w:line="56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pStyle w:val="2"/>
        <w:spacing w:line="560" w:lineRule="exact"/>
        <w:ind w:leftChars="0" w:firstLine="640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根据部门整体支出绩效评价指标体系，我单位</w:t>
      </w:r>
      <w:r>
        <w:rPr>
          <w:rFonts w:hint="default" w:eastAsia="仿宋_GB2312"/>
          <w:color w:val="000000"/>
          <w:sz w:val="32"/>
        </w:rPr>
        <w:t>2024</w:t>
      </w:r>
      <w:r>
        <w:rPr>
          <w:rFonts w:eastAsia="仿宋_GB2312"/>
          <w:color w:val="000000"/>
          <w:sz w:val="32"/>
        </w:rPr>
        <w:t>年度评价得分为</w:t>
      </w:r>
      <w:r>
        <w:rPr>
          <w:rFonts w:hint="default" w:eastAsia="仿宋_GB2312"/>
          <w:color w:val="000000"/>
          <w:sz w:val="32"/>
        </w:rPr>
        <w:t>100</w:t>
      </w:r>
      <w:r>
        <w:rPr>
          <w:rFonts w:eastAsia="仿宋_GB2312"/>
          <w:color w:val="000000"/>
          <w:sz w:val="32"/>
        </w:rPr>
        <w:t>分。</w:t>
      </w:r>
    </w:p>
    <w:p>
      <w:pPr>
        <w:spacing w:line="56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>
      <w:pPr>
        <w:spacing w:after="156" w:afterLines="50" w:line="560" w:lineRule="exact"/>
        <w:ind w:firstLine="640" w:firstLineChars="200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无</w:t>
      </w:r>
    </w:p>
    <w:p>
      <w:pPr>
        <w:spacing w:after="156"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32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82.05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%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90.26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51.2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41.87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18.77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22.6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24.41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50.37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7.6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7.71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3.21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17.91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9.75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1.99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0.86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15.92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8247.12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1913.92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9053.52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水利建设工程质量监督费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山洪灾害防治项目维护经费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3.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平霞管理所人员补助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4.8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4.8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4.8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.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非工程措施项目（山洪灾害防治）维护维修经费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5.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生产建设项目水土保持方案评审、咨询等费用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14.57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14.57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.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水库污染治理工作经费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农村饮水安全工程维修养护专项资金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水利专项资金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8172.75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1840.55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8979.15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0"/>
        </w:rPr>
        <w:t xml:space="preserve">填表人：张倩   填报日期：2025年6月12日 </w:t>
      </w:r>
      <w:r>
        <w:rPr>
          <w:rFonts w:hint="default" w:asciiTheme="minorEastAsia" w:hAnsiTheme="minorEastAsia" w:eastAsiaTheme="minorEastAsia" w:cstheme="minorEastAsia"/>
          <w:sz w:val="20"/>
        </w:rPr>
        <w:t xml:space="preserve">  </w:t>
      </w:r>
      <w:r>
        <w:rPr>
          <w:rFonts w:asciiTheme="minorEastAsia" w:hAnsiTheme="minorEastAsia" w:eastAsiaTheme="minorEastAsia" w:cstheme="minorEastAsia"/>
          <w:sz w:val="20"/>
        </w:rPr>
        <w:t>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7722051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sz w:val="20"/>
        </w:rPr>
        <w:t xml:space="preserve"> </w:t>
      </w:r>
      <w:r>
        <w:rPr>
          <w:rFonts w:hint="default" w:asciiTheme="minorEastAsia" w:hAnsiTheme="minorEastAsia" w:eastAsiaTheme="minorEastAsia" w:cstheme="minorEastAsia"/>
          <w:sz w:val="20"/>
        </w:rPr>
        <w:t xml:space="preserve">  </w:t>
      </w:r>
      <w:r>
        <w:rPr>
          <w:rFonts w:asciiTheme="minorEastAsia" w:hAnsiTheme="minorEastAsia" w:eastAsiaTheme="minorEastAsia" w:cstheme="minorEastAsia"/>
          <w:sz w:val="20"/>
        </w:rPr>
        <w:t>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435"/>
        <w:gridCol w:w="1134"/>
        <w:gridCol w:w="1387"/>
        <w:gridCol w:w="68"/>
        <w:gridCol w:w="1078"/>
        <w:gridCol w:w="1202"/>
        <w:gridCol w:w="942"/>
        <w:gridCol w:w="660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水利局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1907.92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9566.2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9523.35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99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一般公共预算：4283.98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其中：基本支出：469.83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政府性基金拨款：5239.37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项目支出：90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水利工程维修养护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执行率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&gt;90%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&gt;90%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目标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完成性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目标科学性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lang w:val="en"/>
              </w:rPr>
              <w:t>4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对经济发展、民生改善等发挥了重要作用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各部门正常运转，保证服务到位，提升政府形象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山清水秀，人居环境改善，农民生活环境有较大的改善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保障持续正常运转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群众满意度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≧99%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</w:rPr>
              <w:t>99%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0"/>
        </w:rPr>
        <w:t xml:space="preserve">填表人：张倩   填报日期：2025年6月12日 </w:t>
      </w:r>
      <w:r>
        <w:rPr>
          <w:rFonts w:hint="default" w:eastAsia="仿宋_GB2312"/>
          <w:sz w:val="20"/>
        </w:rPr>
        <w:t xml:space="preserve"> </w:t>
      </w:r>
      <w:r>
        <w:rPr>
          <w:rFonts w:eastAsia="仿宋_GB2312"/>
          <w:sz w:val="20"/>
        </w:rPr>
        <w:t xml:space="preserve"> 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7722051</w:t>
      </w:r>
      <w:r>
        <w:rPr>
          <w:rFonts w:eastAsia="仿宋_GB2312"/>
          <w:sz w:val="20"/>
        </w:rPr>
        <w:t xml:space="preserve"> </w:t>
      </w:r>
      <w:r>
        <w:rPr>
          <w:rFonts w:hint="default" w:eastAsia="仿宋_GB2312"/>
          <w:sz w:val="20"/>
        </w:rPr>
        <w:t xml:space="preserve">  </w:t>
      </w:r>
      <w:r>
        <w:rPr>
          <w:rFonts w:eastAsia="仿宋_GB2312"/>
          <w:sz w:val="20"/>
        </w:rPr>
        <w:t>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水利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专项支出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9094.2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水利局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保障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单位持续正常运转，完成水利项目建设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支出管理均已完成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保障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了单位持续正常运转，完成了水利项目建设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0"/>
        </w:rPr>
        <w:t>填表人：张倩    填报日期：2025年6月12日   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7722051</w:t>
      </w:r>
      <w:r>
        <w:rPr>
          <w:rFonts w:asciiTheme="minorEastAsia" w:hAnsiTheme="minorEastAsia" w:eastAsiaTheme="minorEastAsia" w:cstheme="minorEastAsia"/>
          <w:sz w:val="20"/>
        </w:rPr>
        <w:t xml:space="preserve"> 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="156"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5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401"/>
        <w:gridCol w:w="1134"/>
        <w:gridCol w:w="1134"/>
        <w:gridCol w:w="673"/>
        <w:gridCol w:w="877"/>
        <w:gridCol w:w="12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62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水利局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水利局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1435.92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9094.2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9053.52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99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9053.52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保障局机关持续正常运转，完成水利项目建设　　</w:t>
            </w:r>
          </w:p>
        </w:tc>
        <w:tc>
          <w:tcPr>
            <w:tcW w:w="3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保障局机关持续正常运转，完成水利项目建设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本指标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资金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使用率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99%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数量指标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治理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河道长度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1000米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1000米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合规率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时效指标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执行率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&gt;90%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益指标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保障水利饮水安全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生态效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益指标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保护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水资源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保护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保护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益指标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增强供水保障能力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增强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增强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6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0"/>
        </w:rPr>
        <w:t>填表人：张倩    填报日期：2025年6月12日   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7722051</w:t>
      </w:r>
      <w:r>
        <w:rPr>
          <w:rFonts w:asciiTheme="minorEastAsia" w:hAnsiTheme="minorEastAsia" w:eastAsiaTheme="minorEastAsia" w:cstheme="minorEastAsia"/>
          <w:sz w:val="20"/>
        </w:rPr>
        <w:t xml:space="preserve">  单位负责人签字：</w:t>
      </w:r>
    </w:p>
    <w:p>
      <w:pPr>
        <w:rPr>
          <w:rFonts w:hint="default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11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10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006186"/>
    <w:rsid w:val="000072D6"/>
    <w:rsid w:val="000176D9"/>
    <w:rsid w:val="00064F9E"/>
    <w:rsid w:val="000761B3"/>
    <w:rsid w:val="001011BB"/>
    <w:rsid w:val="00172A27"/>
    <w:rsid w:val="001A1608"/>
    <w:rsid w:val="001A275D"/>
    <w:rsid w:val="001D39D2"/>
    <w:rsid w:val="001D3F75"/>
    <w:rsid w:val="001F3FE1"/>
    <w:rsid w:val="002C3CFF"/>
    <w:rsid w:val="002D6BFE"/>
    <w:rsid w:val="003545F9"/>
    <w:rsid w:val="003B2DA7"/>
    <w:rsid w:val="003C604D"/>
    <w:rsid w:val="003E46EA"/>
    <w:rsid w:val="003F0783"/>
    <w:rsid w:val="00473605"/>
    <w:rsid w:val="00633B51"/>
    <w:rsid w:val="006834DF"/>
    <w:rsid w:val="006A0AED"/>
    <w:rsid w:val="006F207F"/>
    <w:rsid w:val="00721191"/>
    <w:rsid w:val="00737467"/>
    <w:rsid w:val="00742D0F"/>
    <w:rsid w:val="00747762"/>
    <w:rsid w:val="007775F3"/>
    <w:rsid w:val="0079025D"/>
    <w:rsid w:val="00821E6E"/>
    <w:rsid w:val="00835C4D"/>
    <w:rsid w:val="009024D5"/>
    <w:rsid w:val="00957682"/>
    <w:rsid w:val="00977409"/>
    <w:rsid w:val="0098637C"/>
    <w:rsid w:val="009959BC"/>
    <w:rsid w:val="009D002A"/>
    <w:rsid w:val="00AE57D2"/>
    <w:rsid w:val="00B06D4A"/>
    <w:rsid w:val="00B977FC"/>
    <w:rsid w:val="00BE12E8"/>
    <w:rsid w:val="00BF7BF1"/>
    <w:rsid w:val="00C8082E"/>
    <w:rsid w:val="00CC1535"/>
    <w:rsid w:val="00CE59D4"/>
    <w:rsid w:val="00DE746F"/>
    <w:rsid w:val="00DF769C"/>
    <w:rsid w:val="00E07744"/>
    <w:rsid w:val="00EC7132"/>
    <w:rsid w:val="00EE7BAF"/>
    <w:rsid w:val="00F97352"/>
    <w:rsid w:val="00FC5195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8EA5012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E351362"/>
    <w:rsid w:val="75073918"/>
    <w:rsid w:val="771A18F7"/>
    <w:rsid w:val="7E991F23"/>
    <w:rsid w:val="7EB5519D"/>
    <w:rsid w:val="FC7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718</Words>
  <Characters>4097</Characters>
  <Lines>34</Lines>
  <Paragraphs>9</Paragraphs>
  <TotalTime>1</TotalTime>
  <ScaleCrop>false</ScaleCrop>
  <LinksUpToDate>false</LinksUpToDate>
  <CharactersWithSpaces>4806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2025-09-16T11:35:22Z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C05C0A58C1B94E6DA3F69BCC80938D65_11</vt:lpwstr>
  </property>
</Properties>
</file>