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Lines="0" w:afterLines="0" w:line="540" w:lineRule="exact"/>
        <w:jc w:val="left"/>
        <w:rPr>
          <w:rFonts w:hint="eastAsia" w:ascii="仿宋_GB2312" w:hAnsi="仿宋_GB2312" w:eastAsia="仿宋_GB2312" w:cs="仿宋_GB2312"/>
          <w:sz w:val="32"/>
          <w:szCs w:val="24"/>
        </w:rPr>
      </w:pPr>
      <w:r>
        <w:rPr>
          <w:rFonts w:hint="eastAsia" w:ascii="黑体" w:hAnsi="黑体" w:eastAsia="黑体" w:cs="黑体"/>
          <w:sz w:val="32"/>
          <w:szCs w:val="32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/>
        <w:jc w:val="center"/>
        <w:textAlignment w:val="auto"/>
        <w:outlineLvl w:val="1"/>
        <w:rPr>
          <w:rFonts w:hint="eastAsia" w:ascii="方正小标宋简体" w:eastAsia="方正小标宋简体"/>
          <w:sz w:val="52"/>
          <w:szCs w:val="24"/>
        </w:rPr>
      </w:pPr>
      <w:r>
        <w:rPr>
          <w:rFonts w:hint="eastAsia" w:ascii="方正小标宋简体" w:eastAsia="方正小标宋简体"/>
          <w:sz w:val="52"/>
          <w:szCs w:val="24"/>
        </w:rPr>
        <w:t>202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52"/>
          <w:szCs w:val="24"/>
        </w:rPr>
        <w:t>年度</w:t>
      </w:r>
      <w:r>
        <w:rPr>
          <w:rFonts w:hint="eastAsia" w:ascii="方正小标宋简体" w:eastAsia="方正小标宋简体"/>
          <w:sz w:val="52"/>
          <w:szCs w:val="24"/>
          <w:lang w:val="en-US" w:eastAsia="zh-CN"/>
        </w:rPr>
        <w:t>双牌县何家洞镇蔡里口中心小学</w:t>
      </w:r>
      <w:r>
        <w:rPr>
          <w:rFonts w:hint="eastAsia" w:ascii="方正小标宋简体" w:eastAsia="方正小标宋简体"/>
          <w:sz w:val="52"/>
          <w:szCs w:val="24"/>
        </w:rPr>
        <w:t>整体支出绩效自评报告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 w:line="600" w:lineRule="exact"/>
        <w:rPr>
          <w:rFonts w:hint="default" w:eastAsia="仿宋_GB2312"/>
          <w:sz w:val="32"/>
          <w:szCs w:val="24"/>
          <w:u w:val="single"/>
        </w:rPr>
      </w:pPr>
      <w:r>
        <w:rPr>
          <w:rFonts w:hint="eastAsia" w:eastAsia="仿宋_GB2312"/>
          <w:sz w:val="32"/>
          <w:szCs w:val="24"/>
        </w:rPr>
        <w:t>单位名称</w:t>
      </w:r>
      <w:r>
        <w:rPr>
          <w:rFonts w:hint="eastAsia" w:eastAsia="仿宋_GB2312"/>
          <w:sz w:val="32"/>
          <w:szCs w:val="24"/>
          <w:u w:val="none"/>
        </w:rPr>
        <w:t>（盖章）</w:t>
      </w:r>
      <w:r>
        <w:rPr>
          <w:rFonts w:hint="eastAsia" w:eastAsia="仿宋_GB2312"/>
          <w:sz w:val="32"/>
          <w:szCs w:val="24"/>
        </w:rPr>
        <w:t>：</w:t>
      </w:r>
      <w:r>
        <w:rPr>
          <w:rFonts w:hint="eastAsia" w:eastAsia="仿宋_GB2312"/>
          <w:sz w:val="32"/>
          <w:szCs w:val="24"/>
          <w:u w:val="single"/>
        </w:rPr>
        <w:t xml:space="preserve">  </w:t>
      </w:r>
      <w:r>
        <w:rPr>
          <w:rFonts w:hint="eastAsia" w:eastAsia="仿宋_GB2312"/>
          <w:sz w:val="32"/>
          <w:szCs w:val="24"/>
          <w:u w:val="single"/>
          <w:lang w:val="en-US" w:eastAsia="zh-CN"/>
        </w:rPr>
        <w:t>双牌县何家洞镇蔡里口中心小学</w:t>
      </w:r>
      <w:r>
        <w:rPr>
          <w:rFonts w:hint="eastAsia" w:eastAsia="仿宋_GB2312"/>
          <w:sz w:val="32"/>
          <w:szCs w:val="24"/>
          <w:u w:val="single"/>
        </w:rPr>
        <w:t xml:space="preserve">    </w:t>
      </w:r>
    </w:p>
    <w:p>
      <w:pPr>
        <w:spacing w:beforeLines="0" w:afterLines="0" w:line="600" w:lineRule="exact"/>
        <w:ind w:firstLine="3200" w:firstLineChars="1000"/>
        <w:rPr>
          <w:rFonts w:hint="eastAsia" w:eastAsia="楷体_GB2312"/>
          <w:sz w:val="32"/>
          <w:szCs w:val="24"/>
        </w:rPr>
      </w:pPr>
    </w:p>
    <w:p>
      <w:pPr>
        <w:spacing w:beforeLines="0" w:afterLines="0" w:line="600" w:lineRule="exact"/>
        <w:ind w:firstLine="3200" w:firstLineChars="1000"/>
        <w:rPr>
          <w:rFonts w:hint="default" w:eastAsia="楷体_GB2312"/>
          <w:sz w:val="32"/>
          <w:szCs w:val="24"/>
        </w:rPr>
      </w:pPr>
      <w:r>
        <w:rPr>
          <w:rFonts w:hint="eastAsia" w:eastAsia="楷体_GB2312"/>
          <w:sz w:val="32"/>
          <w:szCs w:val="24"/>
          <w:lang w:val="en-US" w:eastAsia="zh-CN"/>
        </w:rPr>
        <w:t>2025</w:t>
      </w:r>
      <w:r>
        <w:rPr>
          <w:rFonts w:hint="eastAsia" w:eastAsia="楷体_GB2312"/>
          <w:sz w:val="32"/>
          <w:szCs w:val="24"/>
        </w:rPr>
        <w:t xml:space="preserve">年  </w:t>
      </w:r>
      <w:r>
        <w:rPr>
          <w:rFonts w:hint="eastAsia" w:eastAsia="楷体_GB2312"/>
          <w:sz w:val="32"/>
          <w:szCs w:val="24"/>
          <w:lang w:val="en-US" w:eastAsia="zh-CN"/>
        </w:rPr>
        <w:t>6</w:t>
      </w:r>
      <w:r>
        <w:rPr>
          <w:rFonts w:hint="eastAsia" w:eastAsia="楷体_GB2312"/>
          <w:sz w:val="32"/>
          <w:szCs w:val="24"/>
        </w:rPr>
        <w:t>月</w:t>
      </w:r>
      <w:r>
        <w:rPr>
          <w:rFonts w:hint="eastAsia" w:eastAsia="楷体_GB2312"/>
          <w:sz w:val="32"/>
          <w:szCs w:val="24"/>
          <w:lang w:val="en-US" w:eastAsia="zh-CN"/>
        </w:rPr>
        <w:t>12</w:t>
      </w:r>
      <w:r>
        <w:rPr>
          <w:rFonts w:hint="eastAsia" w:eastAsia="楷体_GB2312"/>
          <w:sz w:val="32"/>
          <w:szCs w:val="24"/>
        </w:rPr>
        <w:t xml:space="preserve">  日</w:t>
      </w:r>
    </w:p>
    <w:p>
      <w:pPr>
        <w:spacing w:beforeLines="0" w:afterLines="0"/>
        <w:jc w:val="center"/>
        <w:rPr>
          <w:rFonts w:hint="default" w:eastAsia="黑体"/>
          <w:sz w:val="32"/>
          <w:szCs w:val="24"/>
        </w:rPr>
      </w:pPr>
    </w:p>
    <w:p>
      <w:pPr>
        <w:spacing w:beforeLines="0" w:afterLines="0"/>
        <w:jc w:val="center"/>
        <w:outlineLvl w:val="0"/>
        <w:rPr>
          <w:rFonts w:hint="default" w:eastAsia="仿宋_GB2312"/>
          <w:sz w:val="32"/>
          <w:szCs w:val="24"/>
        </w:rPr>
      </w:pPr>
      <w:r>
        <w:rPr>
          <w:rFonts w:hint="eastAsia" w:eastAsia="仿宋_GB2312"/>
          <w:sz w:val="32"/>
          <w:szCs w:val="24"/>
        </w:rPr>
        <w:t>（此页为封面）</w:t>
      </w:r>
    </w:p>
    <w:p>
      <w:pPr>
        <w:numPr>
          <w:ilvl w:val="0"/>
          <w:numId w:val="1"/>
        </w:numPr>
        <w:spacing w:beforeLines="0" w:afterLines="0" w:line="570" w:lineRule="exact"/>
        <w:outlineLvl w:val="0"/>
        <w:rPr>
          <w:rFonts w:hint="default" w:eastAsia="黑体"/>
          <w:sz w:val="32"/>
          <w:szCs w:val="24"/>
        </w:rPr>
      </w:pPr>
      <w:r>
        <w:rPr>
          <w:rFonts w:hint="default" w:eastAsia="仿宋_GB2312"/>
          <w:sz w:val="32"/>
          <w:szCs w:val="24"/>
        </w:rPr>
        <w:br w:type="page"/>
      </w:r>
      <w:r>
        <w:rPr>
          <w:rFonts w:hint="eastAsia" w:eastAsia="黑体"/>
          <w:sz w:val="32"/>
          <w:szCs w:val="24"/>
        </w:rPr>
        <w:t>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宋体" w:hAnsi="宋体" w:cs="宋体"/>
          <w:sz w:val="28"/>
          <w:szCs w:val="28"/>
        </w:rPr>
      </w:pPr>
      <w:r>
        <w:rPr>
          <w:rFonts w:hint="eastAsia" w:ascii="楷体_GB2312" w:hAnsi="楷体_GB2312" w:eastAsia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/>
          <w:sz w:val="32"/>
          <w:szCs w:val="32"/>
          <w:lang w:val="en-US" w:eastAsia="zh-CN"/>
        </w:rPr>
        <w:t>一）</w:t>
      </w:r>
      <w:r>
        <w:rPr>
          <w:rFonts w:ascii="楷体_GB2312" w:hAnsi="楷体_GB2312" w:eastAsia="楷体_GB2312"/>
          <w:sz w:val="32"/>
          <w:szCs w:val="32"/>
        </w:rPr>
        <w:t>部门（单位）基本情况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1．主要职能：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560" w:firstLineChars="20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全面贯彻党的教育方针，推行素质教育，搞好教书育人工作，促进基础教育发展，中学教育，相关社会服务，努力提高全体师生的综合素质。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2.机构、人员构成：</w:t>
      </w:r>
    </w:p>
    <w:p>
      <w:pPr>
        <w:widowControl/>
        <w:adjustRightInd w:val="0"/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年末财政供养人数为：编制数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17</w:t>
      </w:r>
      <w:r>
        <w:rPr>
          <w:rFonts w:hint="eastAsia" w:ascii="宋体" w:hAnsi="宋体" w:cs="宋体"/>
          <w:sz w:val="28"/>
          <w:szCs w:val="28"/>
        </w:rPr>
        <w:t>人，实际在职人员1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</w:t>
      </w:r>
      <w:r>
        <w:rPr>
          <w:rFonts w:hint="eastAsia" w:ascii="宋体" w:hAnsi="宋体" w:cs="宋体"/>
          <w:sz w:val="28"/>
          <w:szCs w:val="28"/>
        </w:rPr>
        <w:t>人，在校生人数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37</w:t>
      </w:r>
      <w:r>
        <w:rPr>
          <w:rFonts w:hint="eastAsia" w:ascii="宋体" w:hAnsi="宋体" w:cs="宋体"/>
          <w:sz w:val="28"/>
          <w:szCs w:val="28"/>
        </w:rPr>
        <w:t>人，教学班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个。学校设的内设机构有：校长室、总务处、教务处、政工处等。</w:t>
      </w:r>
    </w:p>
    <w:p>
      <w:p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3.当年取得的主要事业成效。</w:t>
      </w:r>
    </w:p>
    <w:p>
      <w:pPr>
        <w:snapToGrid w:val="0"/>
        <w:spacing w:line="360" w:lineRule="auto"/>
        <w:ind w:firstLine="560" w:firstLineChars="2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度，我单位在上级教育主管部门领导下，认真贯彻《事业单位登记管理暂行条例》、《事业单位登记管理暂行条例实施细则》和有关法律、法规、政策，按照核准登记的业务范围开展活动，主要做了以下几个方面的工作：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开展学生德育活动。通过多种有效途径加强学生爱国主义教育和公民道德教育，强化法制、安全、心理健康教育，收到较好效果。 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开展教学和教研活动。加强教学常规管理，贯彻落实减负措施。培养幼儿综合素质，切实开展“阳光体育”。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开展教育科学研究活动。积极倡导课题深研究，组织教师对教育教学和管理中的难点和热点问题开展研究，提倡行动研究，注重研究的可操作性与实效性。 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开展教师培训活动。规范教师培训制度，组织教职工开展师德培训，加强教育工作，根据校本培训方案认真实施校本培训工作，努力提升教师整体素质。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后勤服务活动。加强校产管理，规范校产的购入、登记、出借、报损、核查和入帐手续，做到账物相符、帐帐相符。规范财务管理，严格执行有关收费规定，及时公示收费项目和标准。改进食堂管理，加强对食品采购、验收、储存、制作与加工等诸多环节的管理工作，确保饮食卫生安全。改善办学条件，不断提高教师教育教学能力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开展学校规章制度建设及其他教育管理活动。健全组织结构，完善管理制度，建立起一套适合本校实际的学校管理制度，实现依法办学、依法行政，以此促进全局工作逐步走上规范化、科学化、民主化轨道，着力推进了和谐教育，取得较好的社会效益。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 xml:space="preserve">积极参与政府组织的扶贫攻坚任务，切实做好贫困学生的助学活动。 </w:t>
      </w:r>
    </w:p>
    <w:p>
      <w:pPr>
        <w:numPr>
          <w:ilvl w:val="0"/>
          <w:numId w:val="2"/>
        </w:numPr>
        <w:snapToGrid w:val="0"/>
        <w:spacing w:line="360" w:lineRule="auto"/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取得的主要效益健全组织结构，完善管理制度，建立起一套适合本校实际的学校管理制度，实现依法办学、依法行政，以此促进全园工作逐走上规范化、科学化、民主化轨道，着力推进了和谐教育，取得了较好的社会效益。</w:t>
      </w:r>
    </w:p>
    <w:p>
      <w:pPr>
        <w:spacing w:line="600" w:lineRule="exact"/>
        <w:ind w:firstLine="640" w:firstLineChars="200"/>
        <w:rPr>
          <w:rFonts w:ascii="楷体_GB2312" w:hAnsi="楷体_GB2312" w:eastAsia="楷体_GB2312"/>
          <w:sz w:val="32"/>
          <w:szCs w:val="32"/>
        </w:rPr>
      </w:pPr>
      <w:r>
        <w:rPr>
          <w:rFonts w:hint="eastAsia" w:ascii="楷体_GB2312" w:hAnsi="楷体_GB2312" w:eastAsia="楷体_GB2312"/>
          <w:sz w:val="32"/>
          <w:szCs w:val="32"/>
        </w:rPr>
        <w:t>（二）</w:t>
      </w:r>
      <w:r>
        <w:rPr>
          <w:rFonts w:ascii="楷体_GB2312" w:hAnsi="楷体_GB2312" w:eastAsia="楷体_GB2312"/>
          <w:sz w:val="32"/>
          <w:szCs w:val="32"/>
        </w:rPr>
        <w:t>部门（单位）年度整体支出绩效目标，项目支出绩效目标</w:t>
      </w:r>
    </w:p>
    <w:p>
      <w:pPr>
        <w:widowControl/>
        <w:spacing w:line="600" w:lineRule="atLeast"/>
        <w:ind w:firstLine="600"/>
        <w:jc w:val="left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根据预算绩效管理要求，我单位组织对202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年度部门整体支出和专项资金实施了全覆盖性的绩效评价，撰写了整体支出绩效评价报告和项目支出绩效评价报告。一般公共预算财政拨款收入决算数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247.63</w:t>
      </w:r>
      <w:r>
        <w:rPr>
          <w:rFonts w:hint="eastAsia" w:ascii="宋体" w:hAnsi="宋体" w:cs="宋体"/>
          <w:sz w:val="28"/>
          <w:szCs w:val="28"/>
        </w:rPr>
        <w:t>万元，其中涉及一般公共预算当年财政项目拨款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247.63</w:t>
      </w:r>
      <w:r>
        <w:rPr>
          <w:rFonts w:hint="eastAsia" w:ascii="宋体" w:hAnsi="宋体" w:cs="宋体"/>
          <w:sz w:val="28"/>
          <w:szCs w:val="28"/>
        </w:rPr>
        <w:t>万元，自评覆盖率达到100%。绩效自评结果显示，上述项目支出绩效情况较为理想，均达到了项目申请时设定的各项绩效目标。</w:t>
      </w:r>
    </w:p>
    <w:p>
      <w:pPr>
        <w:snapToGrid w:val="0"/>
        <w:spacing w:line="360" w:lineRule="auto"/>
        <w:ind w:firstLine="560" w:firstLineChars="20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 xml:space="preserve"> </w:t>
      </w:r>
      <w:r>
        <w:rPr>
          <w:rFonts w:hint="eastAsia" w:ascii="Times New Roman" w:hAnsi="Times New Roman" w:eastAsia="黑体"/>
          <w:sz w:val="32"/>
          <w:szCs w:val="24"/>
        </w:rPr>
        <w:t>二、一般公共预算支出情况</w:t>
      </w:r>
    </w:p>
    <w:p>
      <w:pPr>
        <w:pStyle w:val="7"/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</w:rPr>
        <w:t>（一）基本支出情况</w:t>
      </w:r>
    </w:p>
    <w:p>
      <w:pPr>
        <w:widowControl/>
        <w:spacing w:line="600" w:lineRule="atLeast"/>
        <w:ind w:firstLine="600"/>
        <w:jc w:val="left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基本支出：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257.88</w:t>
      </w:r>
      <w:r>
        <w:rPr>
          <w:rFonts w:hint="eastAsia" w:ascii="宋体" w:hAnsi="宋体" w:cs="宋体"/>
          <w:sz w:val="28"/>
          <w:szCs w:val="28"/>
        </w:rPr>
        <w:t>万元，占总支出的比重为8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cs="宋体"/>
          <w:sz w:val="28"/>
          <w:szCs w:val="28"/>
        </w:rPr>
        <w:t>.00 %。一般公共预算财政拨款基本支出中人员经费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229.17</w:t>
      </w:r>
      <w:r>
        <w:rPr>
          <w:rFonts w:hint="eastAsia" w:ascii="宋体" w:hAnsi="宋体" w:cs="宋体"/>
          <w:sz w:val="28"/>
          <w:szCs w:val="28"/>
        </w:rPr>
        <w:t>万元，主要包括：基本工资、津贴补贴、奖金、社会保障缴费、其他工资福利支出、离休费、退休费、抚恤金、奖励金、住房公积金、其他对个人和家庭的补助支出；一般公共预算财政拨款基本支出中公用经费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28.71</w:t>
      </w:r>
      <w:r>
        <w:rPr>
          <w:rFonts w:hint="eastAsia" w:ascii="宋体" w:hAnsi="宋体" w:cs="宋体"/>
          <w:sz w:val="28"/>
          <w:szCs w:val="28"/>
        </w:rPr>
        <w:t>万元，主要包括：办公费、印刷费、邮电费、差旅费、维修（护）费、会议费、培训费、公务接待费、劳务费、工会经费、福利费。</w:t>
      </w:r>
    </w:p>
    <w:p>
      <w:pPr>
        <w:pStyle w:val="7"/>
        <w:numPr>
          <w:ilvl w:val="0"/>
          <w:numId w:val="3"/>
        </w:numPr>
        <w:spacing w:beforeLines="0" w:afterLines="0" w:line="570" w:lineRule="exact"/>
        <w:ind w:firstLine="640"/>
        <w:outlineLvl w:val="1"/>
        <w:rPr>
          <w:rFonts w:hint="eastAsia" w:ascii="Times New Roman" w:hAnsi="Times New Roman" w:eastAsia="仿宋_GB2312"/>
          <w:sz w:val="32"/>
          <w:szCs w:val="24"/>
        </w:rPr>
      </w:pPr>
      <w:r>
        <w:rPr>
          <w:rFonts w:hint="eastAsia" w:ascii="Times New Roman" w:hAnsi="Times New Roman" w:eastAsia="仿宋_GB2312"/>
          <w:sz w:val="32"/>
          <w:szCs w:val="24"/>
          <w:lang w:val="en-US" w:eastAsia="zh-CN"/>
        </w:rPr>
        <w:t>项目</w:t>
      </w:r>
      <w:r>
        <w:rPr>
          <w:rFonts w:hint="eastAsia" w:ascii="Times New Roman" w:hAnsi="Times New Roman" w:eastAsia="仿宋_GB2312"/>
          <w:sz w:val="32"/>
          <w:szCs w:val="24"/>
        </w:rPr>
        <w:t>支出情况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firstLine="560" w:firstLineChars="200"/>
        <w:outlineLvl w:val="1"/>
        <w:rPr>
          <w:rFonts w:hint="default" w:ascii="Times New Roman" w:hAnsi="Times New Roman" w:eastAsia="宋体"/>
          <w:sz w:val="32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项目</w:t>
      </w:r>
      <w:r>
        <w:rPr>
          <w:rFonts w:hint="eastAsia" w:ascii="宋体" w:hAnsi="宋体" w:cs="宋体"/>
          <w:sz w:val="28"/>
          <w:szCs w:val="28"/>
        </w:rPr>
        <w:t>支出：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43.16</w:t>
      </w:r>
      <w:r>
        <w:rPr>
          <w:rFonts w:hint="eastAsia" w:ascii="宋体" w:hAnsi="宋体" w:cs="宋体"/>
          <w:sz w:val="28"/>
          <w:szCs w:val="28"/>
        </w:rPr>
        <w:t>万元，占总支出的比重为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14</w:t>
      </w:r>
      <w:r>
        <w:rPr>
          <w:rFonts w:hint="eastAsia" w:ascii="宋体" w:hAnsi="宋体" w:cs="宋体"/>
          <w:sz w:val="28"/>
          <w:szCs w:val="28"/>
        </w:rPr>
        <w:t>.00 %。主要包括：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营养午餐</w:t>
      </w:r>
      <w:r>
        <w:rPr>
          <w:rFonts w:hint="eastAsia" w:ascii="宋体" w:hAnsi="宋体" w:cs="宋体"/>
          <w:sz w:val="28"/>
          <w:szCs w:val="28"/>
        </w:rPr>
        <w:t>、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保教保育、学校楼栋改造等。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三、</w:t>
      </w:r>
      <w:r>
        <w:rPr>
          <w:rFonts w:hint="eastAsia" w:ascii="Times New Roman" w:hAnsi="Times New Roman" w:eastAsia="黑体"/>
          <w:sz w:val="32"/>
          <w:szCs w:val="24"/>
        </w:rPr>
        <w:t>政府性基金预算支出情况。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仿宋_GB2312"/>
          <w:color w:val="000000"/>
          <w:sz w:val="32"/>
          <w:szCs w:val="24"/>
          <w:lang w:val="en-US" w:eastAsia="zh-CN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我单位无政府性基金预算支出情况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  <w:lang w:val="en-US" w:eastAsia="zh-CN"/>
        </w:rPr>
        <w:t>四、</w:t>
      </w:r>
      <w:r>
        <w:rPr>
          <w:rFonts w:hint="eastAsia" w:ascii="Times New Roman" w:hAnsi="Times New Roman" w:eastAsia="黑体"/>
          <w:sz w:val="32"/>
          <w:szCs w:val="24"/>
        </w:rPr>
        <w:t>国有资本经营预算支出情况。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left="640" w:leftChars="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我单位无国有资本经营预算支出情况</w:t>
      </w:r>
    </w:p>
    <w:p>
      <w:pPr>
        <w:pStyle w:val="7"/>
        <w:numPr>
          <w:ilvl w:val="0"/>
          <w:numId w:val="4"/>
        </w:numPr>
        <w:spacing w:beforeLines="0" w:afterLines="0" w:line="570" w:lineRule="exact"/>
        <w:ind w:firstLine="64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社会保险基金预算支出情况。</w:t>
      </w:r>
    </w:p>
    <w:p>
      <w:pPr>
        <w:pStyle w:val="7"/>
        <w:numPr>
          <w:ilvl w:val="0"/>
          <w:numId w:val="0"/>
        </w:numPr>
        <w:spacing w:beforeLines="0" w:afterLines="0" w:line="570" w:lineRule="exact"/>
        <w:ind w:firstLine="640" w:firstLineChars="200"/>
        <w:jc w:val="left"/>
        <w:outlineLvl w:val="0"/>
        <w:rPr>
          <w:rFonts w:hint="eastAsia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仿宋_GB2312"/>
          <w:color w:val="000000"/>
          <w:sz w:val="32"/>
          <w:szCs w:val="24"/>
        </w:rPr>
        <w:t>我单位无社会保险基金预算支出情况</w:t>
      </w:r>
    </w:p>
    <w:p>
      <w:pPr>
        <w:spacing w:beforeLines="0" w:afterLines="0" w:line="570" w:lineRule="exact"/>
        <w:ind w:firstLine="640" w:firstLineChars="200"/>
        <w:jc w:val="left"/>
        <w:outlineLvl w:val="0"/>
        <w:rPr>
          <w:rFonts w:hint="default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六、部门整体支出绩效情况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4</w:t>
      </w:r>
      <w:r>
        <w:rPr>
          <w:rFonts w:hint="eastAsia" w:ascii="宋体" w:hAnsi="宋体" w:cs="宋体"/>
          <w:sz w:val="28"/>
          <w:szCs w:val="28"/>
        </w:rPr>
        <w:t>年，根据教育局年初工作规划和重点性工作具体要求，较好的完成了年度工作目标。通过加强预算收支管理，不断建立健全内部管理制度，梳理内部管理流程，部门整体支出管理情况得到提升。根据202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</w:t>
      </w:r>
      <w:r>
        <w:rPr>
          <w:rFonts w:hint="eastAsia" w:ascii="宋体" w:hAnsi="宋体" w:cs="宋体"/>
          <w:sz w:val="28"/>
          <w:szCs w:val="28"/>
        </w:rPr>
        <w:t>年度部门整体支出状况的概述和分析，部门整体支出绩效情况如下：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（一）经济效益评价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1. 本年预算配置控制较好。财政供养人员控制在预算编制以内，编制内在职人员控制率为100%。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2. 预算执行方面。支出总额控制在预算总额以内；“三公”经费总体控制较好，未超本年预算。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3.预算管理方面，制度执行总体较为有效，仍需进一步强化；资金使用管理需进一步加强。</w:t>
      </w:r>
    </w:p>
    <w:p>
      <w:pPr>
        <w:pStyle w:val="8"/>
        <w:spacing w:line="600" w:lineRule="exact"/>
        <w:ind w:firstLine="56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（二）效率性评价和有效性评价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560"/>
        <w:textAlignment w:val="auto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　我校预算安排的基本支出保障了我校正常的工作运转，体现了县教育局对学校的关心和重视，我校在执行上是严格遵守各项财经纪律的，在资金的使用上也是放心的。我校在资金的管理和使用上，严守法律底线、纪律底线、道德底线。</w:t>
      </w:r>
    </w:p>
    <w:p>
      <w:pPr>
        <w:pStyle w:val="7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360" w:lineRule="auto"/>
        <w:ind w:left="0" w:leftChars="0" w:firstLine="640" w:firstLineChars="200"/>
        <w:jc w:val="left"/>
        <w:textAlignment w:val="auto"/>
        <w:outlineLvl w:val="0"/>
        <w:rPr>
          <w:rFonts w:hint="default" w:ascii="Times New Roman" w:hAnsi="Times New Roman" w:eastAsia="黑体"/>
          <w:sz w:val="32"/>
          <w:szCs w:val="24"/>
        </w:rPr>
      </w:pPr>
      <w:r>
        <w:rPr>
          <w:rFonts w:hint="eastAsia" w:ascii="Times New Roman" w:hAnsi="Times New Roman" w:eastAsia="黑体"/>
          <w:sz w:val="32"/>
          <w:szCs w:val="24"/>
        </w:rPr>
        <w:t>七、存在的问题及原因分析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240" w:lineRule="auto"/>
        <w:ind w:firstLine="560" w:firstLineChars="200"/>
        <w:jc w:val="left"/>
        <w:textAlignment w:val="auto"/>
        <w:rPr>
          <w:rFonts w:hint="default" w:eastAsia="仿宋_GB2312"/>
          <w:sz w:val="32"/>
          <w:szCs w:val="24"/>
        </w:rPr>
      </w:pPr>
      <w:r>
        <w:rPr>
          <w:rFonts w:hint="eastAsia" w:ascii="宋体" w:hAnsi="宋体" w:cs="宋体"/>
          <w:kern w:val="2"/>
          <w:sz w:val="28"/>
          <w:szCs w:val="28"/>
        </w:rPr>
        <w:t>预算绩效管理工作机制责任不完善，绩效目标管理体系不够健全，绩效评价体系不科学，群众不明确绩效预算。绩效管理必须通过公正来保证方法有公正，最后结果的公正要规范绩效管理的程序，健全规范的完善的绩效管理制度。</w:t>
      </w:r>
    </w:p>
    <w:p>
      <w:pPr>
        <w:keepNext w:val="0"/>
        <w:keepLines w:val="0"/>
        <w:pageBreakBefore w:val="0"/>
        <w:widowControl w:val="0"/>
        <w:numPr>
          <w:ilvl w:val="0"/>
          <w:numId w:val="5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Lines="0" w:beforeAutospacing="0" w:afterLines="0" w:line="360" w:lineRule="auto"/>
        <w:ind w:firstLine="640" w:firstLineChars="200"/>
        <w:jc w:val="left"/>
        <w:textAlignment w:val="auto"/>
        <w:outlineLvl w:val="0"/>
        <w:rPr>
          <w:rFonts w:hint="eastAsia" w:eastAsia="黑体"/>
          <w:sz w:val="32"/>
          <w:szCs w:val="24"/>
        </w:rPr>
      </w:pPr>
      <w:r>
        <w:rPr>
          <w:rFonts w:hint="eastAsia" w:eastAsia="黑体"/>
          <w:sz w:val="32"/>
          <w:szCs w:val="24"/>
        </w:rPr>
        <w:t>下一步改进措施</w:t>
      </w:r>
    </w:p>
    <w:p>
      <w:pPr>
        <w:pStyle w:val="2"/>
        <w:keepNext w:val="0"/>
        <w:keepLines w:val="0"/>
        <w:pageBreakBefore w:val="0"/>
        <w:widowControl w:val="0"/>
        <w:numPr>
          <w:ilvl w:val="0"/>
          <w:numId w:val="6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line="240" w:lineRule="auto"/>
        <w:ind w:firstLine="560" w:firstLineChars="200"/>
        <w:textAlignment w:val="auto"/>
        <w:rPr>
          <w:rFonts w:hint="eastAsia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>细化预算编制工作，认真做好预算的编制。进一步加强内部机构各股室的预算管理意识，严格按照预算编制的相关制度和要求进行预算编制；全面编制预算项目，进一步提高预算编制的科学性、严谨性和可控性。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　　2. 加强财务管理，严格财务审核。在费用报账支付时，按照预算规定的费用项目和用途进行资金使用审核、列报支付、财务核算，杜绝超支现象的发生。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cs="宋体"/>
          <w:sz w:val="28"/>
          <w:szCs w:val="28"/>
        </w:rPr>
        <w:t>　　3．持续抓好“三公”经费控制管理。严格控制“三公”经费的规模和比例，把关“三公”经费支出的审核、审批，杜绝挪用和挤占其他预算资金行为；进一步细化“三公”经费的管理，合理压缩“三公”经费支出。</w:t>
      </w:r>
      <w:r>
        <w:rPr>
          <w:rFonts w:hint="eastAsia" w:ascii="宋体" w:hAnsi="宋体" w:cs="宋体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</w:t>
      </w:r>
      <w:r>
        <w:rPr>
          <w:rFonts w:hint="eastAsia" w:eastAsia="黑体"/>
          <w:sz w:val="32"/>
          <w:szCs w:val="24"/>
        </w:rPr>
        <w:t>九、部门整体支出绩效自评结果拟应用和公开情况</w:t>
      </w:r>
    </w:p>
    <w:p>
      <w:pPr>
        <w:spacing w:line="580" w:lineRule="exact"/>
        <w:ind w:firstLine="560" w:firstLineChars="200"/>
        <w:rPr>
          <w:rFonts w:hint="default" w:eastAsia="黑体"/>
          <w:sz w:val="32"/>
          <w:szCs w:val="24"/>
        </w:rPr>
      </w:pPr>
      <w:r>
        <w:rPr>
          <w:rFonts w:hint="eastAsia" w:ascii="宋体" w:hAnsi="宋体" w:cs="宋体"/>
          <w:sz w:val="28"/>
          <w:szCs w:val="28"/>
        </w:rPr>
        <w:t>绩效评价结果应用，既是开展绩效评价工作的基本前提，又是加强财政支出管理、增强资金绩效理念、合理配置公共资源、优化财政支出结构、强化资金管理水平、提高资金使用效益的重要手段。为使绩效评价结果得到合理应用，应将此次绩效评价结果作为以后年度建设资金分配的重要依据，结合我校实际将支出进行合理化分配,以达到合理高效地运用资金、提升资金的产出效果、节约成本与资源、提高部门的办事效率的目的，使财政资金发挥出最大的效益，进一步提升财政精细化管理水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textAlignment w:val="auto"/>
        <w:rPr>
          <w:rFonts w:hint="eastAsia" w:ascii="黑体" w:hAnsi="黑体" w:eastAsia="黑体" w:cs="黑体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年度部门整体支出绩效评价基础数据表</w:t>
      </w:r>
    </w:p>
    <w:tbl>
      <w:tblPr>
        <w:tblStyle w:val="5"/>
        <w:tblW w:w="9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0"/>
        <w:gridCol w:w="1109"/>
        <w:gridCol w:w="737"/>
        <w:gridCol w:w="502"/>
        <w:gridCol w:w="1788"/>
        <w:gridCol w:w="1036"/>
        <w:gridCol w:w="103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财政供养人员情况</w:t>
            </w:r>
          </w:p>
        </w:tc>
        <w:tc>
          <w:tcPr>
            <w:tcW w:w="1846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编制数</w:t>
            </w:r>
          </w:p>
        </w:tc>
        <w:tc>
          <w:tcPr>
            <w:tcW w:w="2290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2024年实际在职人数</w:t>
            </w:r>
          </w:p>
        </w:tc>
        <w:tc>
          <w:tcPr>
            <w:tcW w:w="2072" w:type="dxa"/>
            <w:gridSpan w:val="2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经费控制情况(万元)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2023年决算数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2024年预算数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2024年决算数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1、公务用车购置和维护经费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其中：公车购置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公车运行维护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2、出国经费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3、公务接待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0.34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0.59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项目支出：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1、业务工作经费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2、运行维护经费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3、本级专项资金（一个专项一行）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公用经费：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23.98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25.36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其中：办公经费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18.72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18.58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18.56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水费、电费、差旅费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4.58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5.5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5.2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会议费、培训费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0.68</w:t>
            </w: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1.28</w:t>
            </w: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0.94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政府采购金额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部门基本支出预算调整 </w:t>
            </w:r>
          </w:p>
        </w:tc>
        <w:tc>
          <w:tcPr>
            <w:tcW w:w="184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29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07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3400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楼堂馆所控制情况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（2024年完工项目）</w:t>
            </w: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批复规模 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实际规模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（㎡）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规模控制率</w:t>
            </w: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预算投资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实际投资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（万元）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投资概算控制率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3400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1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73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50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0.00</w:t>
            </w:r>
          </w:p>
        </w:tc>
        <w:tc>
          <w:tcPr>
            <w:tcW w:w="10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3400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厉行节约保障措施</w:t>
            </w:r>
          </w:p>
        </w:tc>
        <w:tc>
          <w:tcPr>
            <w:tcW w:w="6208" w:type="dxa"/>
            <w:gridSpan w:val="6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细化预算，加强管理。</w:t>
            </w:r>
          </w:p>
        </w:tc>
      </w:tr>
    </w:tbl>
    <w:p>
      <w:pPr>
        <w:spacing w:beforeLines="0" w:afterLines="0" w:line="100" w:lineRule="exac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说明：“项目支出”需要填报基本支出以外的所有项目支出情况，“公用经费”填报基本支出中的一般商品和服务支出。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17717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年度部门整体支出绩效自评表</w:t>
      </w:r>
    </w:p>
    <w:p>
      <w:pPr>
        <w:pStyle w:val="2"/>
        <w:rPr>
          <w:rFonts w:hint="eastAsia"/>
        </w:rPr>
      </w:pPr>
      <w:r>
        <w:drawing>
          <wp:inline distT="0" distB="0" distL="114300" distR="114300">
            <wp:extent cx="5698490" cy="5334000"/>
            <wp:effectExtent l="0" t="0" r="6985" b="0"/>
            <wp:docPr id="3" name="图片 2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98490" cy="533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240" w:lineRule="auto"/>
        <w:jc w:val="left"/>
        <w:textAlignment w:val="auto"/>
        <w:rPr>
          <w:rFonts w:hint="eastAsia" w:asciiTheme="minorEastAsia" w:hAnsiTheme="minorEastAsia" w:eastAsiaTheme="minorEastAsia" w:cstheme="minorEastAsia"/>
          <w:sz w:val="21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left"/>
        <w:textAlignment w:val="auto"/>
        <w:rPr>
          <w:rFonts w:hint="eastAsia" w:eastAsia="黑体"/>
          <w:color w:val="000000"/>
          <w:sz w:val="32"/>
          <w:szCs w:val="24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177174830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营养午餐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6.7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学生营养补助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4.7万元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补贴发放到位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17717830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  <w:r>
        <w:rPr>
          <w:rFonts w:hint="default" w:eastAsia="仿宋_GB2312"/>
          <w:sz w:val="21"/>
          <w:szCs w:val="21"/>
        </w:rPr>
        <w:br w:type="page"/>
      </w: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17"/>
        <w:gridCol w:w="1380"/>
        <w:gridCol w:w="985"/>
        <w:gridCol w:w="1158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45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学生营养餐补助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2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双牌县何家洞镇蔡里口中心小学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both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9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9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397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学生营养餐补助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实际付款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1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34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经济成本指标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营养餐补助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补助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已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发放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6.7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4.7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完成时段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改善</w:t>
            </w: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学生营养午餐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就餐</w:t>
            </w:r>
            <w:r>
              <w:rPr>
                <w:rFonts w:eastAsia="仿宋_GB2312"/>
                <w:color w:val="000000"/>
                <w:kern w:val="0"/>
              </w:rPr>
              <w:t>环境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和谐度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关心教育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default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38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17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9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5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86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1771830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黑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5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11万元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学校维修改造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10.9万元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both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项目已完工，合格率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6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456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21"/>
        <w:gridCol w:w="1085"/>
        <w:gridCol w:w="1085"/>
        <w:gridCol w:w="1230"/>
        <w:gridCol w:w="1140"/>
        <w:gridCol w:w="1140"/>
        <w:gridCol w:w="832"/>
        <w:gridCol w:w="877"/>
        <w:gridCol w:w="114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5" w:hRule="atLeast"/>
          <w:jc w:val="center"/>
        </w:trPr>
        <w:tc>
          <w:tcPr>
            <w:tcW w:w="921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535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学校维修改造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27" w:hRule="atLeast"/>
          <w:jc w:val="center"/>
        </w:trPr>
        <w:tc>
          <w:tcPr>
            <w:tcW w:w="921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5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双牌县何家洞镇蔡里口中心小学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51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70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68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54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学校维修改造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9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实际付款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12.7万元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40" w:hRule="atLeast"/>
          <w:jc w:val="center"/>
        </w:trPr>
        <w:tc>
          <w:tcPr>
            <w:tcW w:w="921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学校修缮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9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按实结算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eastAsia="仿宋_GB2312"/>
                <w:color w:val="000000"/>
                <w:kern w:val="0"/>
                <w:lang w:eastAsia="zh-CN"/>
              </w:rPr>
              <w:t>装修</w:t>
            </w:r>
            <w:r>
              <w:rPr>
                <w:rFonts w:hint="eastAsia" w:eastAsia="仿宋_GB2312"/>
                <w:color w:val="000000"/>
                <w:kern w:val="0"/>
              </w:rPr>
              <w:t>修缮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11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10.9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7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已完工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完成时段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改善师生工作环境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99%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5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3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校园环境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和谐度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8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1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关心教育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5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6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87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85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0" w:hRule="atLeast"/>
          <w:jc w:val="center"/>
        </w:trPr>
        <w:tc>
          <w:tcPr>
            <w:tcW w:w="921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85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3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6601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77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99</w:t>
            </w:r>
          </w:p>
        </w:tc>
        <w:tc>
          <w:tcPr>
            <w:tcW w:w="114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sectPr>
          <w:footerReference r:id="rId3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177174830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黑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2.5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学生保教保育费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2.32万元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保教保育到位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17714830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spacing w:beforeLines="0" w:afterLines="0" w:line="600" w:lineRule="exact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8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319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6"/>
        <w:gridCol w:w="1068"/>
        <w:gridCol w:w="1070"/>
        <w:gridCol w:w="1212"/>
        <w:gridCol w:w="1124"/>
        <w:gridCol w:w="1122"/>
        <w:gridCol w:w="819"/>
        <w:gridCol w:w="863"/>
        <w:gridCol w:w="11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90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413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保教保育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2817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双牌县何家洞镇蔡里口中心小学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2.32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93%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2.32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3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1.促进幼儿身心发展，保障幼儿日常生活。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2.让家长放心满意。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3939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促进了幼儿身心发展，保障了幼儿日常生活，让家长放心满意。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控制成本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2.32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好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2.32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保质保量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2.5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2.32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14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保质保量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完成时段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2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好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99%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43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校园环境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和谐度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关心教育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 xml:space="preserve"> 5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12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94" w:hRule="atLeast"/>
          <w:jc w:val="center"/>
        </w:trPr>
        <w:tc>
          <w:tcPr>
            <w:tcW w:w="650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96</w:t>
            </w:r>
          </w:p>
        </w:tc>
        <w:tc>
          <w:tcPr>
            <w:tcW w:w="1135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17714830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pStyle w:val="2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both"/>
        <w:textAlignment w:val="auto"/>
        <w:outlineLvl w:val="1"/>
        <w:rPr>
          <w:rFonts w:hint="eastAsia" w:ascii="方正小标宋简体" w:eastAsia="黑体"/>
          <w:sz w:val="44"/>
          <w:szCs w:val="24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Lines="0" w:afterLines="0" w:line="440" w:lineRule="exact"/>
        <w:jc w:val="center"/>
        <w:textAlignment w:val="auto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年度项目支出绩效自评报告</w:t>
      </w:r>
    </w:p>
    <w:tbl>
      <w:tblPr>
        <w:tblStyle w:val="5"/>
        <w:tblpPr w:leftFromText="180" w:rightFromText="180" w:vertAnchor="text" w:horzAnchor="margin" w:tblpXSpec="center" w:tblpY="189"/>
        <w:tblW w:w="9179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975"/>
        <w:gridCol w:w="564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1559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部门概况</w:t>
            </w:r>
          </w:p>
        </w:tc>
        <w:tc>
          <w:tcPr>
            <w:tcW w:w="197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专项名称</w:t>
            </w:r>
          </w:p>
        </w:tc>
        <w:tc>
          <w:tcPr>
            <w:tcW w:w="5645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义务教育薄弱环节改善与能力提升补助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年度预算金额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60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项目主管部门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项目立项目的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大型修缮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0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绩效情况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项目支出管理和使用基本情况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项目共支出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19.15万元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2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项目绩效目标完成情况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大型修缮完成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9" w:hRule="atLeast"/>
        </w:trPr>
        <w:tc>
          <w:tcPr>
            <w:tcW w:w="1559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存在的问题分析及改进措施</w:t>
            </w: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存在的问题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制度执行总体较为有效，仍需进一步强化；资金使用管理需进一步加强。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9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改进措施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加强财务管理，严格财务审核。在费用报账支付时，按照预算规定的费用项目和用途进行资金使用审核、列报支付、财务核算，杜绝超支现象的发生。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6" w:hRule="atLeast"/>
        </w:trPr>
        <w:tc>
          <w:tcPr>
            <w:tcW w:w="1559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top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97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其他需要说明问题</w:t>
            </w:r>
          </w:p>
        </w:tc>
        <w:tc>
          <w:tcPr>
            <w:tcW w:w="564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剩余其他资金分批次拨付</w:t>
            </w: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</w:tbl>
    <w:p>
      <w:pPr>
        <w:spacing w:beforeLines="0" w:afterLines="0" w:line="320" w:lineRule="atLeast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 w:line="600" w:lineRule="exact"/>
        <w:jc w:val="left"/>
        <w:rPr>
          <w:rFonts w:hint="eastAsia"/>
          <w:lang w:val="en-US" w:eastAsia="zh-CN"/>
        </w:rPr>
        <w:sectPr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1774830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>
      <w:pPr>
        <w:spacing w:beforeLines="0" w:afterLines="0" w:line="600" w:lineRule="exact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10</w:t>
      </w:r>
    </w:p>
    <w:p>
      <w:pPr>
        <w:spacing w:beforeLines="0" w:after="120" w:afterLines="50" w:line="600" w:lineRule="exact"/>
        <w:jc w:val="center"/>
        <w:outlineLvl w:val="1"/>
        <w:rPr>
          <w:rFonts w:hint="eastAsia" w:ascii="方正小标宋简体" w:eastAsia="方正小标宋简体"/>
          <w:sz w:val="44"/>
          <w:szCs w:val="24"/>
        </w:rPr>
      </w:pPr>
      <w:r>
        <w:rPr>
          <w:rFonts w:hint="eastAsia" w:ascii="方正小标宋简体" w:eastAsia="方正小标宋简体"/>
          <w:sz w:val="44"/>
          <w:szCs w:val="24"/>
          <w:lang w:eastAsia="zh-CN"/>
        </w:rPr>
        <w:t>202</w:t>
      </w:r>
      <w:r>
        <w:rPr>
          <w:rFonts w:hint="eastAsia" w:ascii="方正小标宋简体" w:eastAsia="方正小标宋简体"/>
          <w:sz w:val="44"/>
          <w:szCs w:val="24"/>
          <w:lang w:val="en-US" w:eastAsia="zh-CN"/>
        </w:rPr>
        <w:t>4</w:t>
      </w:r>
      <w:r>
        <w:rPr>
          <w:rFonts w:hint="eastAsia" w:ascii="方正小标宋简体" w:eastAsia="方正小标宋简体"/>
          <w:sz w:val="44"/>
          <w:szCs w:val="24"/>
        </w:rPr>
        <w:t>年度项目支出绩效自评表</w:t>
      </w:r>
    </w:p>
    <w:tbl>
      <w:tblPr>
        <w:tblStyle w:val="5"/>
        <w:tblW w:w="97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28" w:type="dxa"/>
          <w:bottom w:w="0" w:type="dxa"/>
          <w:right w:w="28" w:type="dxa"/>
        </w:tblCellMar>
      </w:tblPr>
      <w:tblGrid>
        <w:gridCol w:w="906"/>
        <w:gridCol w:w="1068"/>
        <w:gridCol w:w="1070"/>
        <w:gridCol w:w="1212"/>
        <w:gridCol w:w="1124"/>
        <w:gridCol w:w="1122"/>
        <w:gridCol w:w="819"/>
        <w:gridCol w:w="863"/>
        <w:gridCol w:w="15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22" w:hRule="atLeast"/>
          <w:jc w:val="center"/>
        </w:trPr>
        <w:tc>
          <w:tcPr>
            <w:tcW w:w="906" w:type="dxa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项目支</w:t>
            </w:r>
          </w:p>
          <w:p>
            <w:pPr>
              <w:spacing w:beforeLines="0" w:afterLines="0" w:line="26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出名称</w:t>
            </w:r>
          </w:p>
        </w:tc>
        <w:tc>
          <w:tcPr>
            <w:tcW w:w="8874" w:type="dxa"/>
            <w:gridSpan w:val="8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义务教育薄弱环节改善与能力提升补助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09" w:hRule="atLeast"/>
          <w:jc w:val="center"/>
        </w:trPr>
        <w:tc>
          <w:tcPr>
            <w:tcW w:w="906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主管部门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双牌县教育局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实施单位</w:t>
            </w:r>
          </w:p>
        </w:tc>
        <w:tc>
          <w:tcPr>
            <w:tcW w:w="3278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双牌县何家洞镇蔡里口中心小学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项目资金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（万元）</w:t>
            </w: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年初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预算数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全年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执行数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分值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执行率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得分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年度资金总额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32%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其中：当年财政拨款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上年结转资金　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2138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720" w:firstLineChars="3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其他资金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年度总体目标</w:t>
            </w: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预期目标</w:t>
            </w:r>
          </w:p>
        </w:tc>
        <w:tc>
          <w:tcPr>
            <w:tcW w:w="4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实际完成情况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4474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1.促进幼儿身心发展，保障幼儿日常生活。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2.让家长放心满意。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　</w:t>
            </w:r>
          </w:p>
        </w:tc>
        <w:tc>
          <w:tcPr>
            <w:tcW w:w="4400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促进了幼儿身心发展，保障了幼儿日常生活，让家长放心满意。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92" w:hRule="atLeast"/>
          <w:jc w:val="center"/>
        </w:trPr>
        <w:tc>
          <w:tcPr>
            <w:tcW w:w="906" w:type="dxa"/>
            <w:vMerge w:val="restart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绩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标</w:t>
            </w:r>
          </w:p>
        </w:tc>
        <w:tc>
          <w:tcPr>
            <w:tcW w:w="10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一级指标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二级指标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三级指标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年度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指标值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实际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完成值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分值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得分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偏差原因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分析及</w:t>
            </w:r>
          </w:p>
          <w:p>
            <w:pPr>
              <w:spacing w:beforeLines="0" w:afterLines="0"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改进措施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9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20分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lang w:val="en"/>
              </w:rPr>
              <w:t>）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经济成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本指标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控制成本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ind w:firstLine="24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剩余其他资金分批次拨付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6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生态环境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成本指标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eastAsia="仿宋_GB2312" w:asciiTheme="minorEastAsia" w:hAnsi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好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  <w:t>剩余其他资金分批次拨付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7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产出指标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（40分）</w:t>
            </w: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数量指标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保质保量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60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19.15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bidi w:val="0"/>
              <w:jc w:val="left"/>
              <w:rPr>
                <w:rFonts w:hint="eastAsia" w:ascii="Times New Roman" w:hAnsi="Times New Roman" w:eastAsia="Times New Roman" w:cstheme="minorBidi"/>
                <w:kern w:val="2"/>
                <w:sz w:val="21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质量指标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保质保量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/>
                <w:color w:val="000000"/>
                <w:kern w:val="0"/>
                <w:sz w:val="18"/>
                <w:szCs w:val="18"/>
              </w:rPr>
              <w:t>合格率100%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sz w:val="18"/>
                <w:szCs w:val="18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180" w:firstLineChars="100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Theme="minorEastAsia"/>
                <w:color w:val="000000"/>
                <w:kern w:val="0"/>
                <w:sz w:val="18"/>
                <w:szCs w:val="18"/>
                <w:lang w:val="en-US" w:eastAsia="zh-CN"/>
              </w:rPr>
              <w:t>10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时效指标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完成时段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按时完成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47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2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效益指标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（20分）</w:t>
            </w: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经济效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好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99%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2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1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生态效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校园环境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和谐度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 xml:space="preserve"> 10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1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08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社会效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</w:rPr>
              <w:t>益指标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关心教育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eastAsia="仿宋_GB2312" w:asciiTheme="minorEastAsia" w:hAnsi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eastAsia="仿宋_GB2312"/>
                <w:color w:val="000000"/>
                <w:kern w:val="0"/>
              </w:rPr>
              <w:t>　</w:t>
            </w:r>
            <w:r>
              <w:rPr>
                <w:rFonts w:hint="eastAsia" w:eastAsia="仿宋_GB2312"/>
                <w:color w:val="000000"/>
                <w:kern w:val="0"/>
                <w:lang w:val="en-US" w:eastAsia="zh-CN"/>
              </w:rPr>
              <w:t xml:space="preserve"> 5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73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5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满意度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指标</w:t>
            </w:r>
          </w:p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（10分）</w:t>
            </w:r>
          </w:p>
        </w:tc>
        <w:tc>
          <w:tcPr>
            <w:tcW w:w="1070" w:type="dxa"/>
            <w:vMerge w:val="restart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服务对象满意度指标</w:t>
            </w: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满意度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ind w:firstLine="210" w:firstLineChars="10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100%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widowControl/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eastAsia="仿宋_GB2312"/>
                <w:color w:val="000000"/>
                <w:kern w:val="0"/>
              </w:rPr>
              <w:t>10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59" w:hRule="atLeast"/>
          <w:jc w:val="center"/>
        </w:trPr>
        <w:tc>
          <w:tcPr>
            <w:tcW w:w="906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68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070" w:type="dxa"/>
            <w:vMerge w:val="continue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</w:p>
        </w:tc>
        <w:tc>
          <w:tcPr>
            <w:tcW w:w="121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……</w:t>
            </w:r>
          </w:p>
        </w:tc>
        <w:tc>
          <w:tcPr>
            <w:tcW w:w="11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1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28" w:hRule="atLeast"/>
          <w:jc w:val="center"/>
        </w:trPr>
        <w:tc>
          <w:tcPr>
            <w:tcW w:w="6502" w:type="dxa"/>
            <w:gridSpan w:val="6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  <w:tc>
          <w:tcPr>
            <w:tcW w:w="819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63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6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　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68</w:t>
            </w:r>
          </w:p>
        </w:tc>
        <w:tc>
          <w:tcPr>
            <w:tcW w:w="1596" w:type="dxa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  <w:tl2br w:val="nil"/>
              <w:tr2bl w:val="nil"/>
            </w:tcBorders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</w:rPr>
              <w:t>总分</w:t>
            </w:r>
          </w:p>
        </w:tc>
      </w:tr>
    </w:tbl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备注：每个项目支出分别填报自评报告和自评表。</w:t>
      </w:r>
    </w:p>
    <w:p>
      <w:pPr>
        <w:spacing w:beforeLines="0" w:afterLines="0"/>
        <w:jc w:val="left"/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sectPr>
          <w:footerReference r:id="rId4" w:type="default"/>
          <w:pgSz w:w="12240" w:h="15840"/>
          <w:pgMar w:top="1440" w:right="1800" w:bottom="1440" w:left="1800" w:header="720" w:footer="720" w:gutter="0"/>
          <w:lnNumType w:countBy="0" w:distance="360"/>
          <w:cols w:space="720" w:num="1"/>
          <w:docGrid w:type="lines" w:linePitch="312" w:charSpace="0"/>
        </w:sectPr>
      </w:pP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填表人：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刘臻蔚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填报日期：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2025年6月12日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联系电话：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17754830</w:t>
      </w:r>
      <w:r>
        <w:rPr>
          <w:rFonts w:hint="eastAsia" w:asciiTheme="minorEastAsia" w:hAnsiTheme="minorEastAsia" w:eastAsiaTheme="minorEastAsia" w:cstheme="minorEastAsia"/>
          <w:sz w:val="21"/>
          <w:szCs w:val="21"/>
        </w:rPr>
        <w:t>单位负责人签字：</w:t>
      </w:r>
      <w:r>
        <w:rPr>
          <w:rFonts w:hint="eastAsia" w:asciiTheme="minorEastAsia" w:hAnsiTheme="minorEastAsia" w:eastAsiaTheme="minorEastAsia" w:cstheme="minorEastAsia"/>
          <w:sz w:val="21"/>
          <w:szCs w:val="21"/>
          <w:lang w:val="en-US" w:eastAsia="zh-CN"/>
        </w:rPr>
        <w:t>潘泽华</w:t>
      </w:r>
    </w:p>
    <w:p/>
    <w:sectPr>
      <w:footerReference r:id="rId5" w:type="default"/>
      <w:pgSz w:w="12240" w:h="15840"/>
      <w:pgMar w:top="1440" w:right="1800" w:bottom="1440" w:left="1800" w:header="720" w:footer="720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78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_GB2312">
    <w:altName w:val="方正楷体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icrosoft YaHei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Tahoma">
    <w:altName w:val="DejaVu Sans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uto" w:vAnchor="margin" w:hAnchor="text" w:xAlign="left" w:yAlign="inline"/>
      <w:spacing w:beforeLines="0" w:afterLines="0"/>
      <w:ind w:right="360" w:firstLine="360"/>
      <w:rPr>
        <w:rFonts w:hint="default"/>
        <w:sz w:val="28"/>
        <w:szCs w:val="24"/>
      </w:rPr>
    </w:pPr>
    <w:r>
      <w:rPr>
        <w:rFonts w:hint="default"/>
        <w:sz w:val="28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spacing w:beforeLines="0" w:afterLines="0"/>
                            <w:rPr>
                              <w:rFonts w:hint="default"/>
                              <w:sz w:val="28"/>
                              <w:szCs w:val="24"/>
                            </w:rPr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spacing w:beforeLines="0" w:afterLines="0"/>
                      <w:rPr>
                        <w:rFonts w:hint="default"/>
                        <w:sz w:val="28"/>
                        <w:szCs w:val="24"/>
                      </w:rPr>
                    </w:pP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separate"/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t>- 1 -</w:t>
                    </w:r>
                    <w:r>
                      <w:rPr>
                        <w:rFonts w:hint="eastAsia" w:ascii="宋体" w:hAnsi="宋体" w:cs="宋体"/>
                        <w:sz w:val="2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962B115"/>
    <w:multiLevelType w:val="singleLevel"/>
    <w:tmpl w:val="8962B115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D5BA6E5F"/>
    <w:multiLevelType w:val="singleLevel"/>
    <w:tmpl w:val="D5BA6E5F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F6565F35"/>
    <w:multiLevelType w:val="singleLevel"/>
    <w:tmpl w:val="F6565F35"/>
    <w:lvl w:ilvl="0" w:tentative="0">
      <w:start w:val="8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12D49D10"/>
    <w:multiLevelType w:val="singleLevel"/>
    <w:tmpl w:val="12D49D10"/>
    <w:lvl w:ilvl="0" w:tentative="0">
      <w:start w:val="1"/>
      <w:numFmt w:val="decimal"/>
      <w:suff w:val="nothing"/>
      <w:lvlText w:val="%1、"/>
      <w:lvlJc w:val="left"/>
    </w:lvl>
  </w:abstractNum>
  <w:abstractNum w:abstractNumId="4">
    <w:nsid w:val="57EB91F6"/>
    <w:multiLevelType w:val="multilevel"/>
    <w:tmpl w:val="57EB91F6"/>
    <w:lvl w:ilvl="0" w:tentative="0">
      <w:start w:val="1"/>
      <w:numFmt w:val="chineseCounting"/>
      <w:suff w:val="nothing"/>
      <w:lvlText w:val="%1、"/>
      <w:lvlJc w:val="left"/>
      <w:pPr>
        <w:ind w:left="640" w:firstLine="0"/>
      </w:pPr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abstractNum w:abstractNumId="5">
    <w:nsid w:val="7E212B7F"/>
    <w:multiLevelType w:val="singleLevel"/>
    <w:tmpl w:val="7E212B7F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RiM2U5ZWIwYjIyOTViMDZiNjgyYzIyZWI2ODBmMTUifQ=="/>
  </w:docVars>
  <w:rsids>
    <w:rsidRoot w:val="3EBE111D"/>
    <w:rsid w:val="01D86637"/>
    <w:rsid w:val="035D6F45"/>
    <w:rsid w:val="0BB1113A"/>
    <w:rsid w:val="0DA821F2"/>
    <w:rsid w:val="1F605FF9"/>
    <w:rsid w:val="241B3455"/>
    <w:rsid w:val="2EEA0A53"/>
    <w:rsid w:val="32222CB9"/>
    <w:rsid w:val="3EBE111D"/>
    <w:rsid w:val="4012305A"/>
    <w:rsid w:val="46935B40"/>
    <w:rsid w:val="4693674B"/>
    <w:rsid w:val="4969140C"/>
    <w:rsid w:val="4C85254A"/>
    <w:rsid w:val="52784664"/>
    <w:rsid w:val="559D5349"/>
    <w:rsid w:val="61A42FB4"/>
    <w:rsid w:val="65ED6CD8"/>
    <w:rsid w:val="6C345CDB"/>
    <w:rsid w:val="6CC56480"/>
    <w:rsid w:val="6D7BA663"/>
    <w:rsid w:val="722805F5"/>
    <w:rsid w:val="796755B2"/>
    <w:rsid w:val="7AC7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Times New Roman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0"/>
    <w:pPr>
      <w:spacing w:before="100" w:beforeAutospacing="1"/>
      <w:ind w:left="0" w:firstLine="420" w:firstLineChars="200"/>
    </w:pPr>
  </w:style>
  <w:style w:type="paragraph" w:styleId="3">
    <w:name w:val="Body Text Indent"/>
    <w:basedOn w:val="1"/>
    <w:qFormat/>
    <w:uiPriority w:val="0"/>
    <w:pPr>
      <w:spacing w:after="120"/>
      <w:ind w:left="420" w:leftChars="200"/>
    </w:pPr>
  </w:style>
  <w:style w:type="paragraph" w:styleId="4">
    <w:name w:val="footer"/>
    <w:basedOn w:val="1"/>
    <w:unhideWhenUsed/>
    <w:qFormat/>
    <w:uiPriority w:val="0"/>
    <w:pPr>
      <w:framePr w:wrap="auto" w:vAnchor="text" w:hAnchor="margin" w:xAlign="outside" w:y="1"/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eastAsia"/>
      <w:kern w:val="0"/>
      <w:sz w:val="28"/>
      <w:szCs w:val="24"/>
    </w:rPr>
  </w:style>
  <w:style w:type="paragraph" w:styleId="7">
    <w:name w:val="List Paragraph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 w:ascii="Calibri" w:hAnsi="Calibri"/>
      <w:kern w:val="0"/>
      <w:sz w:val="28"/>
      <w:szCs w:val="24"/>
    </w:rPr>
  </w:style>
  <w:style w:type="paragraph" w:customStyle="1" w:styleId="8">
    <w:name w:val="列出段落1"/>
    <w:basedOn w:val="1"/>
    <w:qFormat/>
    <w:uiPriority w:val="0"/>
    <w:pPr>
      <w:ind w:firstLine="420" w:firstLineChars="200"/>
    </w:pPr>
    <w:rPr>
      <w:rFonts w:ascii="Calibri" w:hAnsi="Calibri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17</Pages>
  <Words>4710</Words>
  <Characters>5149</Characters>
  <Lines>1</Lines>
  <Paragraphs>1</Paragraphs>
  <TotalTime>8</TotalTime>
  <ScaleCrop>false</ScaleCrop>
  <LinksUpToDate>false</LinksUpToDate>
  <CharactersWithSpaces>5339</CharactersWithSpaces>
  <Application>WPS Office_11.8.2.10505_F1E327BC-269C-435d-A152-05C5408002CA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2023-09-14T15:30:00Z</dcterms:created>
  <dc:creator>，，，</dc:creator>
  <cp:lastModifiedBy>kylin</cp:lastModifiedBy>
  <dcterms:modified xsi:type="dcterms:W3CDTF">2025-09-15T11:32:21Z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2052-11.8.2.10505</vt:lpwstr>
  </property>
  <property fmtid="{D5CDD505-2E9C-101B-9397-08002B2CF9AE}" pid="3" name="ICV">
    <vt:lpwstr>FA29345F0DC9442288EC40C68BED89E3_13</vt:lpwstr>
  </property>
  <property fmtid="{D5CDD505-2E9C-101B-9397-08002B2CF9AE}" pid="4" name="KSOTemplateDocerSaveRecord">
    <vt:lpwstr>eyJoZGlkIjoiOTk1MDc1NmY5OWNhYmExMzI5YTExYjQ4YzNiMzE3NWIiLCJ1c2VySWQiOiI0MTg5MzYzNTEifQ==</vt:lpwstr>
  </property>
</Properties>
</file>