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hint="default" w:ascii="方正小标宋简体" w:eastAsia="方正小标宋简体"/>
          <w:sz w:val="52"/>
        </w:rPr>
        <w:drawing>
          <wp:inline distT="0" distB="0" distL="0" distR="0">
            <wp:extent cx="5486400" cy="7315200"/>
            <wp:effectExtent l="19050" t="0" r="0" b="0"/>
            <wp:docPr id="1" name="图片 0" descr="微信图片_20250701094156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50701094156.jpg"/>
                    <pic:cNvPicPr>
                      <a:picLocks noChangeAspect="true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2024年度麻江镇人民政府整体支出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1920" w:firstLineChars="6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单位名称（盖章）：麻江镇人民政府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2025年 6 月 12 日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>
      <w:pPr>
        <w:spacing w:line="570" w:lineRule="exact"/>
        <w:ind w:left="640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</w:p>
    <w:p>
      <w:pPr>
        <w:spacing w:line="560" w:lineRule="exact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一、基本情况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（一）部门（单位）基本情况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1、机构、人员构成。</w:t>
      </w:r>
    </w:p>
    <w:p>
      <w:pPr>
        <w:snapToGrid w:val="0"/>
        <w:spacing w:line="52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共6个内设机构：1、党政综合办公室（行政审批服务办公室、信访办公室）；2、党建工作办公室；3、经济发展办公室（农业农村和乡村振兴工作办公室）；4、社会事务办公室（卫生健康办公室）；5、自然资源和生态环境办公室（农村房屋建设管理办公室）；6、社会治安和应急管理办公室(社会治安综合治理中心)。麻江镇直属事业单位规范设置为4个：1、社会事业综合服务中心（文化综合服务站、禁毒宣教站）；2、农业综合服务中心；3、政务（便民）服务中心；4、退役军人服务中心。 </w:t>
      </w:r>
    </w:p>
    <w:p>
      <w:pPr>
        <w:snapToGrid w:val="0"/>
        <w:spacing w:line="52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3．人员情况。</w:t>
      </w:r>
    </w:p>
    <w:p>
      <w:pPr>
        <w:pStyle w:val="7"/>
        <w:widowControl/>
        <w:spacing w:beforeAutospacing="0" w:after="2" w:afterAutospacing="0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单位实有在编人数35人，其中：行政编制14人，事业编制15人。 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2、职能职责</w:t>
      </w:r>
    </w:p>
    <w:p>
      <w:pPr>
        <w:pStyle w:val="7"/>
        <w:widowControl/>
        <w:spacing w:beforeAutospacing="0" w:after="2" w:afterAutospacing="0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执行国家行政机关的决定、命令和国家制定的法令、法规，执行本级人民代表大会的各项决议，并报告执行决议、决定和命令的情况。 制定并落实本行政区域的经济计划和措施，全面提高人民群众的生活水平和生活质量。承担国有资产、集体资产管理、监督及增值保值责任。开展社会主义民主和法制的宣传教育，保障公民的权利，打击违法犯罪，维护社会稳定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（二）部门（单位）年度整体支出绩效目标，项目支出绩效目标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1.部门年度整体支出绩效目标。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认真贯彻执行党的基本路线、方针政策和上级组织的决议、指示、命令；对本镇的重大问题进行决策，研究制定全镇经济、社会和文化发展规划。 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2.项目支出绩效目标。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保障镇政府的基本运转，不断提升麻江镇政府服务水平。</w:t>
      </w:r>
    </w:p>
    <w:p>
      <w:pPr>
        <w:pStyle w:val="10"/>
        <w:spacing w:line="560" w:lineRule="exact"/>
        <w:ind w:firstLine="64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二、一般公共预算支出情况</w:t>
      </w:r>
    </w:p>
    <w:p>
      <w:pPr>
        <w:pStyle w:val="10"/>
        <w:spacing w:line="560" w:lineRule="exact"/>
        <w:ind w:firstLine="64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（一）基本支出情况</w:t>
      </w:r>
    </w:p>
    <w:p>
      <w:pPr>
        <w:pStyle w:val="10"/>
        <w:spacing w:line="560" w:lineRule="exact"/>
        <w:ind w:firstLine="64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基本支出：793.71万元，占一般公共预算支出的比重45.04%。一般公共预算财政拨款基本支出中人员经费486.28万元，主要包括：基本工资103.05万元、津贴补贴79.84万元、奖金51.96万元、绩效工资30.03万元、机关事业单位基本养老保险缴费36.18万元、职工基本医疗保险19.56万元、其他社会保障缴费1.63万元、住房公积金26.95万元、其他工资福利支出42.79万元。生活补助15.09万元、救济费20.73万元、奖励金15万元、个人农业生产补贴13万元、其它对个和家庭的补助45.54万元。</w:t>
      </w:r>
    </w:p>
    <w:p>
      <w:pPr>
        <w:pStyle w:val="10"/>
        <w:spacing w:line="560" w:lineRule="exact"/>
        <w:ind w:firstLine="64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一般公共预算财政拨款基本支出中公用经费307.43万元，主要包括：办公费41.05万元、印刷费5.39万元、电费2.11万元、差旅费14.32万元、维修（护）费27.74万元、培训费6.32万元、公务接待费12.19万元、劳务费15.29万元、委托业务费57.01万元、委托业务费16.43万元、福利费4万元、公务用车运行维护费5.3万元、其他交通费用17.79万元、其他商品和服务支出19.47、公务用车购置17.48万元。</w:t>
      </w:r>
    </w:p>
    <w:p>
      <w:pPr>
        <w:pStyle w:val="10"/>
        <w:spacing w:line="560" w:lineRule="exact"/>
        <w:ind w:firstLine="64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（二）项目支出情况</w:t>
      </w:r>
    </w:p>
    <w:p>
      <w:pPr>
        <w:pStyle w:val="10"/>
        <w:spacing w:line="560" w:lineRule="exact"/>
        <w:ind w:firstLine="64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项目支出：968.54万元，占一般公共预算支出的比重为54.96%，是指单位为完成特定行政工作任务或事业发展目标而发生的支出，主要用于基础设施建设、环境整治、乡村振兴支出、重点项目征地补偿等。</w:t>
      </w:r>
    </w:p>
    <w:p>
      <w:pPr>
        <w:pStyle w:val="11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三、政府性基金预算支出情况。</w:t>
      </w:r>
    </w:p>
    <w:p>
      <w:pPr>
        <w:pStyle w:val="11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我单位无政府性基金预算支出情况</w:t>
      </w:r>
    </w:p>
    <w:p>
      <w:pPr>
        <w:pStyle w:val="11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</w:p>
    <w:p>
      <w:pPr>
        <w:pStyle w:val="11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</w:t>
      </w:r>
    </w:p>
    <w:p>
      <w:pPr>
        <w:pStyle w:val="11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</w:p>
    <w:p>
      <w:pPr>
        <w:pStyle w:val="11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2024年，根据镇政府年初工作规划和重点性工作，围绕县委、县政府全面建成小康社会的发展蓝图，我镇积极履职，强化管理，较好的完成了年度工作目标。通过加强预算收支管理，不断建立健全内部管理制度，梳理内部管理流程。整体支出管理水平得到一定提升。根据部门整体支出绩效评价指标体系，我镇2024年部门整体支出绩效自评97分。</w:t>
      </w:r>
    </w:p>
    <w:p>
      <w:pPr>
        <w:pStyle w:val="11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1、预算执行率率有待提高。由于预算项目未实施或未及时报账导致年末预算资金未形成支出。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2、专项资金少，资金压力大。针对我镇农村经济基础薄弱、资金压力大的现状，重点产业项目尚需进一步的加强。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3、预算编制不够明确和细化，预算编制的合理性需要提高，预算执行力度还要进一步加强。资金使用效益有待进一步提高，绩效目标设立不够明确、细化和量化。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4、人员严重缺编与工作任务繁重矛盾日益突出。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八、下一步改进措施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按照政府信息公开的有关要求，逐步公开财政支出项目预算及绩效评价结果，加强社会公众对财政资金使用效益的监督。</w:t>
      </w:r>
    </w:p>
    <w:p>
      <w:pPr>
        <w:spacing w:line="570" w:lineRule="exact"/>
        <w:ind w:firstLine="645"/>
        <w:jc w:val="left"/>
        <w:rPr>
          <w:rFonts w:hint="default" w:eastAsia="黑体"/>
          <w:sz w:val="32"/>
        </w:rPr>
      </w:pPr>
    </w:p>
    <w:p>
      <w:pPr>
        <w:pStyle w:val="2"/>
        <w:ind w:leftChars="0"/>
        <w:rPr>
          <w:rFonts w:hint="default" w:eastAsia="黑体"/>
        </w:rPr>
      </w:pPr>
    </w:p>
    <w:tbl>
      <w:tblPr>
        <w:tblStyle w:val="8"/>
        <w:tblW w:w="970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849"/>
        <w:gridCol w:w="849"/>
        <w:gridCol w:w="1280"/>
        <w:gridCol w:w="638"/>
        <w:gridCol w:w="2557"/>
        <w:gridCol w:w="1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基础数据表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财政供养人员情况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编制数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2024年实际在职人数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92.11%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经费控制情况(万元)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2023年决算数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2024年预算数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2024年决算数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三公经费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18.05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35.08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34.88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1、公务用车购置和维护经费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5.55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22.88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22.78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其中：公车购置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17.48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公车运行维护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5.55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2、出国经费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3、公务接待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12.2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项目支出：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191.58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969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968.45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1、业务工作经费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2、运行维护经费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3、本级专项资金（一个专项一行）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191.58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969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968.45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水渠、水沟建设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17.17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监控等设施建设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人居环境整建设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土地补偿款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印花税、滞纳金及附加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河堤、护坡建设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新农村基础设施建设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道路建设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镇基础设施建设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39.16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抽水蓄能电站建设征地补偿款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526.65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生活污水处理建设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19.76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土地复垦项目建设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11.58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43.59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办公设备购置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镇基础设施建设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公用经费：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214.8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其中：办公经费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16.46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水费、电费、差旅费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48.98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16.5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会议费、培训费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6.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政府采购金额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899.28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1763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1762.26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楼堂馆所控制情况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（2024年完工项目）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批复规模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（㎡）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实际规模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（㎡）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规模控制率</w:t>
            </w:r>
          </w:p>
        </w:tc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预算投资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实际投资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厉行节约保障措施</w:t>
            </w:r>
          </w:p>
        </w:tc>
        <w:tc>
          <w:tcPr>
            <w:tcW w:w="6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保障日常运转开支，维护民生开支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Cs w:val="21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Cs w:val="21"/>
        </w:rPr>
        <w:t>说明：“项目支出”需要填报基本支出以外的所有项目支出情况，“公用经费”填报</w:t>
      </w:r>
      <w:r>
        <w:rPr>
          <w:rFonts w:asciiTheme="minorEastAsia" w:hAnsiTheme="minorEastAsia" w:eastAsiaTheme="minorEastAsia" w:cstheme="minorEastAsia"/>
          <w:sz w:val="24"/>
        </w:rPr>
        <w:t>基本支出中的一般商品和服务支出。</w:t>
      </w:r>
    </w:p>
    <w:p>
      <w:pPr>
        <w:pStyle w:val="2"/>
        <w:ind w:leftChars="0" w:firstLine="0" w:firstLineChars="0"/>
        <w:rPr>
          <w:rFonts w:hint="default" w:eastAsiaTheme="minorEastAsia"/>
        </w:rPr>
      </w:pPr>
    </w:p>
    <w:p>
      <w:pPr>
        <w:pStyle w:val="2"/>
        <w:ind w:leftChars="0" w:firstLine="0" w:firstLineChars="0"/>
        <w:rPr>
          <w:rFonts w:hint="default" w:eastAsiaTheme="minorEastAsia"/>
        </w:rPr>
      </w:pPr>
    </w:p>
    <w:p>
      <w:pPr>
        <w:pStyle w:val="2"/>
        <w:ind w:leftChars="0" w:firstLine="0" w:firstLineChars="0"/>
        <w:rPr>
          <w:rFonts w:hint="default" w:eastAsiaTheme="minorEastAsia"/>
        </w:rPr>
      </w:pPr>
    </w:p>
    <w:p>
      <w:pPr>
        <w:pStyle w:val="2"/>
        <w:ind w:leftChars="0" w:firstLine="0" w:firstLineChars="0"/>
        <w:rPr>
          <w:rFonts w:hint="default" w:eastAsiaTheme="minorEastAsia"/>
        </w:rPr>
      </w:pPr>
    </w:p>
    <w:p>
      <w:pPr>
        <w:pStyle w:val="2"/>
        <w:ind w:leftChars="0" w:firstLine="0" w:firstLineChars="0"/>
        <w:rPr>
          <w:rFonts w:hint="default" w:eastAsiaTheme="minorEastAsia"/>
        </w:rPr>
      </w:pPr>
    </w:p>
    <w:p>
      <w:pPr>
        <w:pStyle w:val="2"/>
        <w:ind w:leftChars="0" w:firstLine="0" w:firstLineChars="0"/>
        <w:rPr>
          <w:rFonts w:hint="default" w:eastAsiaTheme="minorEastAsia"/>
        </w:rPr>
      </w:pPr>
    </w:p>
    <w:p>
      <w:pPr>
        <w:pStyle w:val="2"/>
        <w:ind w:leftChars="0" w:firstLine="0" w:firstLineChars="0"/>
        <w:rPr>
          <w:rFonts w:hint="default" w:eastAsiaTheme="minorEastAsia"/>
        </w:rPr>
      </w:pPr>
    </w:p>
    <w:p>
      <w:pPr>
        <w:pStyle w:val="2"/>
        <w:ind w:leftChars="0" w:firstLine="0" w:firstLineChars="0"/>
        <w:rPr>
          <w:rFonts w:hint="default" w:eastAsiaTheme="minorEastAsia"/>
        </w:rPr>
      </w:pPr>
    </w:p>
    <w:p>
      <w:pPr>
        <w:pStyle w:val="2"/>
        <w:ind w:leftChars="0" w:firstLine="0" w:firstLineChars="0"/>
        <w:rPr>
          <w:rFonts w:hint="default" w:eastAsiaTheme="minorEastAsia"/>
        </w:rPr>
      </w:pPr>
    </w:p>
    <w:tbl>
      <w:tblPr>
        <w:tblStyle w:val="8"/>
        <w:tblW w:w="9160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754"/>
        <w:gridCol w:w="949"/>
        <w:gridCol w:w="961"/>
        <w:gridCol w:w="974"/>
        <w:gridCol w:w="1451"/>
        <w:gridCol w:w="635"/>
        <w:gridCol w:w="610"/>
        <w:gridCol w:w="658"/>
        <w:gridCol w:w="903"/>
        <w:gridCol w:w="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1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outlineLvl w:val="1"/>
              <w:rPr>
                <w:rFonts w:hint="default" w:ascii="方正小标宋简体" w:eastAsia="方正小标宋简体"/>
                <w:sz w:val="44"/>
              </w:rPr>
            </w:pPr>
            <w:r>
              <w:rPr>
                <w:rFonts w:ascii="方正小标宋简体" w:eastAsia="方正小标宋简体"/>
                <w:sz w:val="44"/>
              </w:rPr>
              <w:t>2024年度部门整体支出绩效自评表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预算部门名称</w:t>
            </w:r>
          </w:p>
        </w:tc>
        <w:tc>
          <w:tcPr>
            <w:tcW w:w="7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双牌县麻江镇人民政府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年度预算申请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(万元)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(万元)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1766.50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1763.00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1762.26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99.95%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一般公共预算：</w:t>
            </w:r>
          </w:p>
        </w:tc>
        <w:tc>
          <w:tcPr>
            <w:tcW w:w="4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1762.26</w:t>
            </w:r>
          </w:p>
        </w:tc>
        <w:tc>
          <w:tcPr>
            <w:tcW w:w="6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其中:基本支出：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793.72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4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4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项目支出：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968.54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4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7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目标1.保障人员支出和单位正常运转；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目标2.认真贯彻执行党的基本路线、方针政策和上级组织的决议、指示、命令；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目标3.对本镇的重大问题进行决策，研究制定全镇经济、社会和文化发展规划。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保障了人员支出和单位正常运转，认真贯彻执行党的基本路线、方针政策和上级组织的决议、指示、命令，对本镇的重大问题进行决策，研究制定全镇经济、社会和文化发展规划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14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评扣分标准</w:t>
            </w:r>
          </w:p>
        </w:tc>
        <w:tc>
          <w:tcPr>
            <w:tcW w:w="6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6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9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公用经费开支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307.7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307.44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完成支付率达95-100%，得10分。超出1%，扣1分，扣完为止。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人员经费开支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486.3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486.28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完成支付率达95-100%，得10分。超出1%，扣1分，扣完为止。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项目开支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969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968.54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完成支付率达95-100%，得10分。超出1%，扣1分，扣完为止。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工作目标完成率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94%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完成支付率达95-100%，得10分。超出1%，扣1分，扣完为止。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工作完成时间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2024年12月31日前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2024年12月31日前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利税增收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50万元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45万元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完成支付率达95-100%，得10分。低于95%，超出1%，扣1分，扣完为止。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主要由于税收重点项目基本由公司在县外缴纳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保障单位日常运转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基础设施建设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重点项目建设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群众对单位、日常工作的满意度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93%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完成率达95-100%，得10分。低于95%，每低于1%，扣1分，扣完为止。0.5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主要由于重点项目涉及人员众多，有部分矛盾协调工作。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资金使用的合理率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完成支付率达95-100%，得10分。超出1%，扣1分，扣完为止。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94.00</w:t>
            </w:r>
          </w:p>
        </w:tc>
      </w:tr>
    </w:tbl>
    <w:p>
      <w:pPr>
        <w:pStyle w:val="2"/>
        <w:ind w:left="420"/>
        <w:rPr>
          <w:rFonts w:hint="default" w:eastAsiaTheme="minorEastAsia"/>
        </w:rPr>
      </w:pPr>
    </w:p>
    <w:p>
      <w:pPr>
        <w:pStyle w:val="2"/>
        <w:ind w:left="420"/>
        <w:rPr>
          <w:rFonts w:hint="default" w:eastAsiaTheme="minorEastAsia"/>
        </w:rPr>
      </w:pPr>
    </w:p>
    <w:p>
      <w:pPr>
        <w:pStyle w:val="2"/>
        <w:ind w:left="420"/>
        <w:rPr>
          <w:rFonts w:hint="default" w:eastAsiaTheme="minorEastAsia"/>
        </w:rPr>
      </w:pPr>
    </w:p>
    <w:p>
      <w:pPr>
        <w:pStyle w:val="2"/>
        <w:ind w:left="420"/>
        <w:rPr>
          <w:rFonts w:hint="default" w:eastAsiaTheme="minorEastAsia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2024年度整体支出绩效自评报告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整体支出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1762.26万元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双牌县麻江镇人民政府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完成特定行政工作任务或事业发展目标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整体支出管理和使用基本情况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整体计划支出共1762.26万元，实际到位资金1762.26万元，资金全部拨付到位并使用。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整体绩效目标完成情况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2024年本单位项目绩效目标完成度高，效果明显。全面完成绩效目标任务。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绩效目标完成度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标准有待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细化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预算执行进度和效率有待完善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pStyle w:val="11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切实加快预算执行进度，提升资金利用率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密切关注目标项目开展实施情况，确保实际工作符合绩效目标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无其他问题说明</w:t>
            </w:r>
          </w:p>
        </w:tc>
      </w:tr>
    </w:tbl>
    <w:p>
      <w:pPr>
        <w:pStyle w:val="2"/>
        <w:ind w:left="420"/>
        <w:rPr>
          <w:rFonts w:hint="default" w:eastAsiaTheme="minorEastAsia"/>
        </w:rPr>
      </w:pPr>
    </w:p>
    <w:p>
      <w:pPr>
        <w:pStyle w:val="2"/>
        <w:ind w:left="420"/>
        <w:rPr>
          <w:rFonts w:hint="default" w:eastAsiaTheme="minorEastAsia"/>
        </w:rPr>
      </w:pPr>
    </w:p>
    <w:tbl>
      <w:tblPr>
        <w:tblStyle w:val="8"/>
        <w:tblW w:w="10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79"/>
        <w:gridCol w:w="1359"/>
        <w:gridCol w:w="1079"/>
        <w:gridCol w:w="1060"/>
        <w:gridCol w:w="1060"/>
        <w:gridCol w:w="920"/>
        <w:gridCol w:w="1004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项目支出名称</w:t>
            </w:r>
          </w:p>
        </w:tc>
        <w:tc>
          <w:tcPr>
            <w:tcW w:w="9080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2024年业务专项经费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0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双牌县麻江镇人民政府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双牌县麻江镇人民政府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项目资金(万元)</w:t>
            </w:r>
          </w:p>
        </w:tc>
        <w:tc>
          <w:tcPr>
            <w:tcW w:w="284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资金来源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全年预算数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全年执行数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执行率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其中:当年财政拨款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上年结转金额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其它资金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100.00%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4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专项经费，保障各单位工作进度</w:t>
            </w:r>
          </w:p>
        </w:tc>
        <w:tc>
          <w:tcPr>
            <w:tcW w:w="4100" w:type="dxa"/>
            <w:gridSpan w:val="4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专项经费，保障各单位工作进度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4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4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年度指标值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实际完成值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专项业务项目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7个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7个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资金使用效率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项目完成时间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2024年12月31日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2024年12月31日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发挥资金使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效果显著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效果显著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保障民生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后续工作开展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92%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资金量少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资金支出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17万元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17万元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8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spacing w:line="240" w:lineRule="atLeast"/>
        <w:ind w:left="420"/>
        <w:rPr>
          <w:rFonts w:hint="default" w:eastAsiaTheme="minorEastAsia"/>
        </w:rPr>
      </w:pPr>
    </w:p>
    <w:p>
      <w:pPr>
        <w:spacing w:line="320" w:lineRule="atLeast"/>
        <w:ind w:left="-424" w:leftChars="-202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2024年业务专项经费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双牌县麻江镇人民政府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专项经费开支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项目计划支出共17万元，实际到位资金17万元，资金全部拨付到位并使用。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麻江镇人大、纪委、妇联等各项工作开支，已完成既定目标任务。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ind w:firstLine="360" w:firstLineChars="15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无其他问题说明</w:t>
            </w: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tbl>
      <w:tblPr>
        <w:tblStyle w:val="8"/>
        <w:tblW w:w="102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960"/>
        <w:gridCol w:w="820"/>
        <w:gridCol w:w="1180"/>
        <w:gridCol w:w="1320"/>
        <w:gridCol w:w="1560"/>
        <w:gridCol w:w="1180"/>
        <w:gridCol w:w="126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项目支出名称</w:t>
            </w:r>
          </w:p>
        </w:tc>
        <w:tc>
          <w:tcPr>
            <w:tcW w:w="9340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专项资金开支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0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双牌县麻江镇人民政府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双牌县麻江镇人民政府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项目资金(万元)</w:t>
            </w:r>
          </w:p>
        </w:tc>
        <w:tc>
          <w:tcPr>
            <w:tcW w:w="178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资金来源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全年预算数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全年执行数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执行率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其中:当年财政拨款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968.54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上年结转金额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其它资金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968.54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99.00%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50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0" w:type="dxa"/>
            <w:gridSpan w:val="4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完成各项专项项目开支</w:t>
            </w:r>
          </w:p>
        </w:tc>
        <w:tc>
          <w:tcPr>
            <w:tcW w:w="5060" w:type="dxa"/>
            <w:gridSpan w:val="4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已完成14个基本项目支出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0" w:type="dxa"/>
            <w:gridSpan w:val="4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0" w:type="dxa"/>
            <w:gridSpan w:val="4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0" w:type="dxa"/>
            <w:gridSpan w:val="4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0" w:type="dxa"/>
            <w:gridSpan w:val="4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年度指标值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实际完成值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项目建设个数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14个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14个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工作完成率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98%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98%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工作完成时间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2024年12月31日之前完成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2024年12月31日之前完成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产生利税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部分项目由施工方在外县缴税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基础设施建设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重点项目建设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保障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保障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后续项目开展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94%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资金利用印花税金、滞纳金及附加支出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40.85万元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40.85万元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河堤、护坡建设支出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土地补偿款支出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2.4万元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2.4万元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人居环境整治建设支出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91.85万元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91.85万元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监控等设施建设支出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1.3万元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1.3万元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水渠、水沟建设支出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17.17万元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17.17万元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道路建设支出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24.01万元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24.01万元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新农村基础设施建设支出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35.08万元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35.08万元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镇基础设施建设支出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27.05万元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27.05万元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保障性租赁房建设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39.16万元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39.16万元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生活污水处理建设支出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19.77万元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19.77万元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抽水畜能电站建设征地补偿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526.66万元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526.66万元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办公设备购置支出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6.59万元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6.59万元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土地复垦项目建设支出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43.59万元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43.59万元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2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97.90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专项经费开支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968.84万元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双牌县麻江镇人民政府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专项经费开支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项目计划支出共968.54万元，实际到位资金968.54万元，资金全部拨付到位并使用。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完成基础设施、重点项目等各项支出，完成项目建高。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ind w:firstLine="360" w:firstLineChars="15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无其他问题说明</w:t>
            </w: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pStyle w:val="2"/>
        <w:ind w:leftChars="0" w:firstLine="0" w:firstLineChars="0"/>
        <w:rPr>
          <w:rFonts w:hint="default" w:eastAsiaTheme="minorEastAsia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pStyle w:val="2"/>
        <w:ind w:leftChars="0" w:firstLine="0" w:firstLineChars="0"/>
        <w:rPr>
          <w:rFonts w:hint="default" w:eastAsiaTheme="minorEastAsia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1" o:spid="_x0000_s1034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17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3" o:spid="_x0000_s1035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18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96F1E"/>
    <w:multiLevelType w:val="multilevel"/>
    <w:tmpl w:val="22096F1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D830CB"/>
    <w:multiLevelType w:val="multilevel"/>
    <w:tmpl w:val="79D830C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xMDA4Yzc0Yzc1ZGY3NTE1ZWEwYmY0MjViNzI2YjIifQ=="/>
  </w:docVars>
  <w:rsids>
    <w:rsidRoot w:val="00172A27"/>
    <w:rsid w:val="000244C8"/>
    <w:rsid w:val="00036F50"/>
    <w:rsid w:val="00044FE6"/>
    <w:rsid w:val="00050DC8"/>
    <w:rsid w:val="00052AA4"/>
    <w:rsid w:val="0005638B"/>
    <w:rsid w:val="000746AB"/>
    <w:rsid w:val="00087FB0"/>
    <w:rsid w:val="000A77CD"/>
    <w:rsid w:val="000B0F78"/>
    <w:rsid w:val="000B475E"/>
    <w:rsid w:val="00105F6E"/>
    <w:rsid w:val="0012760C"/>
    <w:rsid w:val="00137339"/>
    <w:rsid w:val="00154143"/>
    <w:rsid w:val="00171060"/>
    <w:rsid w:val="00172A27"/>
    <w:rsid w:val="00195BAA"/>
    <w:rsid w:val="001C0866"/>
    <w:rsid w:val="001D5202"/>
    <w:rsid w:val="00235CC6"/>
    <w:rsid w:val="002372DB"/>
    <w:rsid w:val="00283C95"/>
    <w:rsid w:val="00287D86"/>
    <w:rsid w:val="002924B1"/>
    <w:rsid w:val="002A4293"/>
    <w:rsid w:val="002B132C"/>
    <w:rsid w:val="002D15F2"/>
    <w:rsid w:val="002D47DA"/>
    <w:rsid w:val="00310F0F"/>
    <w:rsid w:val="00316298"/>
    <w:rsid w:val="0036787A"/>
    <w:rsid w:val="003A1704"/>
    <w:rsid w:val="003A624B"/>
    <w:rsid w:val="003C5CDD"/>
    <w:rsid w:val="003E72A2"/>
    <w:rsid w:val="00402A16"/>
    <w:rsid w:val="0041133B"/>
    <w:rsid w:val="0047764D"/>
    <w:rsid w:val="00492E7D"/>
    <w:rsid w:val="004960A2"/>
    <w:rsid w:val="004B6B80"/>
    <w:rsid w:val="004F5867"/>
    <w:rsid w:val="00525938"/>
    <w:rsid w:val="00531A27"/>
    <w:rsid w:val="00541E18"/>
    <w:rsid w:val="00557709"/>
    <w:rsid w:val="00564D0F"/>
    <w:rsid w:val="00577046"/>
    <w:rsid w:val="00592A1C"/>
    <w:rsid w:val="005A20FF"/>
    <w:rsid w:val="005D3C52"/>
    <w:rsid w:val="0061199B"/>
    <w:rsid w:val="00613700"/>
    <w:rsid w:val="0062247B"/>
    <w:rsid w:val="00635D7A"/>
    <w:rsid w:val="00661CF7"/>
    <w:rsid w:val="006943C4"/>
    <w:rsid w:val="006B30A3"/>
    <w:rsid w:val="006C2B8F"/>
    <w:rsid w:val="006F6A39"/>
    <w:rsid w:val="00700CA5"/>
    <w:rsid w:val="00767053"/>
    <w:rsid w:val="00771721"/>
    <w:rsid w:val="00782557"/>
    <w:rsid w:val="00791DDF"/>
    <w:rsid w:val="007A0790"/>
    <w:rsid w:val="007A0A36"/>
    <w:rsid w:val="007B2042"/>
    <w:rsid w:val="007D5B4C"/>
    <w:rsid w:val="007E2FC0"/>
    <w:rsid w:val="007F3283"/>
    <w:rsid w:val="0080034C"/>
    <w:rsid w:val="00805AE7"/>
    <w:rsid w:val="00816317"/>
    <w:rsid w:val="00847D6F"/>
    <w:rsid w:val="008D4833"/>
    <w:rsid w:val="00905439"/>
    <w:rsid w:val="00950362"/>
    <w:rsid w:val="009A1494"/>
    <w:rsid w:val="009F2693"/>
    <w:rsid w:val="00A27CD5"/>
    <w:rsid w:val="00A30440"/>
    <w:rsid w:val="00A37318"/>
    <w:rsid w:val="00A572AD"/>
    <w:rsid w:val="00A6572D"/>
    <w:rsid w:val="00A6731B"/>
    <w:rsid w:val="00A87314"/>
    <w:rsid w:val="00AC4DF9"/>
    <w:rsid w:val="00AD7958"/>
    <w:rsid w:val="00AD7AD3"/>
    <w:rsid w:val="00AE2C0E"/>
    <w:rsid w:val="00AF39BA"/>
    <w:rsid w:val="00B029BE"/>
    <w:rsid w:val="00B23E49"/>
    <w:rsid w:val="00B46FC3"/>
    <w:rsid w:val="00B523B6"/>
    <w:rsid w:val="00BB6A6D"/>
    <w:rsid w:val="00BB7349"/>
    <w:rsid w:val="00BC2AF2"/>
    <w:rsid w:val="00BC2ED0"/>
    <w:rsid w:val="00BE0374"/>
    <w:rsid w:val="00BE0DCC"/>
    <w:rsid w:val="00C26F2A"/>
    <w:rsid w:val="00C343E1"/>
    <w:rsid w:val="00C57B0C"/>
    <w:rsid w:val="00C621DC"/>
    <w:rsid w:val="00C719E8"/>
    <w:rsid w:val="00C722ED"/>
    <w:rsid w:val="00C85479"/>
    <w:rsid w:val="00C94AE9"/>
    <w:rsid w:val="00C94D00"/>
    <w:rsid w:val="00C97CD7"/>
    <w:rsid w:val="00D44590"/>
    <w:rsid w:val="00D5447D"/>
    <w:rsid w:val="00D62D39"/>
    <w:rsid w:val="00D65667"/>
    <w:rsid w:val="00D726DD"/>
    <w:rsid w:val="00D84D37"/>
    <w:rsid w:val="00DD5631"/>
    <w:rsid w:val="00DD7710"/>
    <w:rsid w:val="00DF0515"/>
    <w:rsid w:val="00E128D2"/>
    <w:rsid w:val="00EB7C9D"/>
    <w:rsid w:val="00EC11C5"/>
    <w:rsid w:val="00EC7318"/>
    <w:rsid w:val="00EE2EEF"/>
    <w:rsid w:val="00F25CCA"/>
    <w:rsid w:val="00F27FB1"/>
    <w:rsid w:val="00F36C87"/>
    <w:rsid w:val="00FD0C87"/>
    <w:rsid w:val="00FE507D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75073918"/>
    <w:rsid w:val="771A18F7"/>
    <w:rsid w:val="7DCFF055"/>
    <w:rsid w:val="7E991F23"/>
    <w:rsid w:val="7EB551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10">
    <w:name w:val="列出段落1"/>
    <w:basedOn w:val="1"/>
    <w:unhideWhenUsed/>
    <w:qFormat/>
    <w:uiPriority w:val="0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Times New Roman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rFonts w:ascii="Times New Roman" w:hAnsi="Times New Roman"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1095</Words>
  <Characters>6242</Characters>
  <Lines>52</Lines>
  <Paragraphs>14</Paragraphs>
  <TotalTime>0</TotalTime>
  <ScaleCrop>false</ScaleCrop>
  <LinksUpToDate>false</LinksUpToDate>
  <CharactersWithSpaces>7323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2025-07-08T10:32:00Z</dcterms:created>
  <dc:creator>海之韵</dc:creator>
  <cp:lastModifiedBy>kylin</cp:lastModifiedBy>
  <cp:lastPrinted>2025-06-26T15:39:00Z</cp:lastPrinted>
  <dcterms:modified xsi:type="dcterms:W3CDTF">2025-09-16T17:04:38Z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C05C0A58C1B94E6DA3F69BCC80938D65_11</vt:lpwstr>
  </property>
</Properties>
</file>