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双牌县档案馆</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pStyle w:val="6"/>
        <w:rPr>
          <w:rFonts w:hint="default" w:eastAsia="黑体"/>
          <w:sz w:val="32"/>
          <w:szCs w:val="24"/>
        </w:rPr>
      </w:pPr>
    </w:p>
    <w:p>
      <w:pPr>
        <w:pStyle w:val="6"/>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双牌县档案馆</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16</w:t>
      </w:r>
      <w:r>
        <w:rPr>
          <w:rFonts w:hint="eastAsia" w:eastAsia="楷体_GB2312"/>
          <w:sz w:val="32"/>
          <w:szCs w:val="24"/>
        </w:rPr>
        <w:t xml:space="preserve"> 日</w:t>
      </w:r>
    </w:p>
    <w:p>
      <w:pPr>
        <w:spacing w:beforeLines="0" w:afterLines="0"/>
        <w:jc w:val="center"/>
        <w:rPr>
          <w:rFonts w:hint="default" w:eastAsia="黑体"/>
          <w:sz w:val="32"/>
          <w:szCs w:val="24"/>
        </w:rPr>
      </w:pPr>
    </w:p>
    <w:p>
      <w:pPr>
        <w:numPr>
          <w:ilvl w:val="0"/>
          <w:numId w:val="1"/>
        </w:numPr>
        <w:spacing w:beforeLines="0" w:afterLines="0" w:line="570" w:lineRule="exact"/>
        <w:outlineLvl w:val="0"/>
        <w:rPr>
          <w:rFonts w:hint="default" w:eastAsia="黑体"/>
          <w:sz w:val="32"/>
          <w:szCs w:val="32"/>
        </w:rPr>
      </w:pPr>
      <w:r>
        <w:rPr>
          <w:rFonts w:hint="default" w:eastAsia="仿宋_GB2312"/>
          <w:sz w:val="32"/>
          <w:szCs w:val="24"/>
        </w:rPr>
        <w:br w:type="page"/>
      </w:r>
      <w:r>
        <w:rPr>
          <w:rFonts w:hint="eastAsia" w:eastAsia="黑体"/>
          <w:sz w:val="32"/>
          <w:szCs w:val="32"/>
        </w:rPr>
        <w:t>基本情况</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（一）单位基本情况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部门职能职责：1、管理县直单位的重要档案和有关资料，依照档案法规接收、征集、整理、保管县直单位的重要档案和有关资料。2、保守党和国家的机密，维护档案完整，确保档案资料的安全。3、开发档案信息资源，为社会利用档案(资料)信息资源提供服务，利用馆藏资源开展社会教育服务工作。4、开展档案编研，编研出版档案史料，为经济建设、社会发展和科学研究服务。5、开展已公开现行文件和政务公开信息的收集、整理、保管和提供利用工作。6、开展档案信息化建设工作，对馆藏重要档案特别是利用频繁的民生档案进行全文数字化加工处理，建立健全数字档案馆。7、完成县委办公室交办的其他事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内设机构和人员构成情况：根据编委核定，我单位无内设机构，在职干部3人，无退休人员。</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（二）</w:t>
      </w:r>
      <w:r>
        <w:rPr>
          <w:rFonts w:hint="eastAsia" w:ascii="仿宋" w:hAnsi="仿宋" w:eastAsia="仿宋"/>
          <w:sz w:val="32"/>
          <w:szCs w:val="32"/>
        </w:rPr>
        <w:t>单位202</w:t>
      </w:r>
      <w:r>
        <w:rPr>
          <w:rFonts w:hint="eastAsia" w:ascii="仿宋" w:hAnsi="仿宋" w:eastAsia="仿宋"/>
          <w:sz w:val="32"/>
          <w:szCs w:val="32"/>
          <w:lang w:val="en-US" w:eastAsia="zh-CN"/>
        </w:rPr>
        <w:t>4</w:t>
      </w:r>
      <w:r>
        <w:rPr>
          <w:rFonts w:ascii="仿宋" w:hAnsi="仿宋" w:eastAsia="仿宋"/>
          <w:sz w:val="32"/>
          <w:szCs w:val="32"/>
        </w:rPr>
        <w:t>年度整体支出绩效目标，项目支出绩效目标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1、整体支出绩效目标：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①管理县直单位的重要档案和有关资料，</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②维护档案完整，确保档案资料的安全，为社会利用档案(资料)信息资源提供服务。</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③维护新档案馆水电正常运营。</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2、专项资金绩效目标：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①维护档案完整，确保档案资料的安全，为社会利用档案(资料)信息资源提供服务。</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②参与档案宣传活动，提高民众档案意识。</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③维护新档案馆水电正常运营。</w:t>
      </w:r>
    </w:p>
    <w:p>
      <w:pPr>
        <w:pStyle w:val="10"/>
        <w:spacing w:beforeLines="0" w:afterLines="0" w:line="570" w:lineRule="exact"/>
        <w:ind w:firstLine="640"/>
        <w:outlineLvl w:val="0"/>
        <w:rPr>
          <w:rFonts w:hint="default" w:ascii="Times New Roman" w:hAnsi="Times New Roman" w:eastAsia="黑体"/>
          <w:sz w:val="32"/>
          <w:szCs w:val="32"/>
        </w:rPr>
      </w:pPr>
      <w:r>
        <w:rPr>
          <w:rFonts w:hint="eastAsia" w:ascii="Times New Roman" w:hAnsi="Times New Roman" w:eastAsia="黑体"/>
          <w:sz w:val="32"/>
          <w:szCs w:val="32"/>
        </w:rPr>
        <w:t>二、一般公共预算支出情况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年本部门一般公共预算拨款支出预算</w:t>
      </w:r>
      <w:r>
        <w:rPr>
          <w:rFonts w:hint="eastAsia" w:ascii="仿宋" w:hAnsi="仿宋" w:eastAsia="仿宋"/>
          <w:sz w:val="32"/>
          <w:szCs w:val="32"/>
          <w:lang w:val="en-US" w:eastAsia="zh-CN"/>
        </w:rPr>
        <w:t>73.84</w:t>
      </w:r>
      <w:r>
        <w:rPr>
          <w:rFonts w:hint="eastAsia" w:ascii="仿宋" w:hAnsi="仿宋" w:eastAsia="仿宋"/>
          <w:sz w:val="32"/>
          <w:szCs w:val="32"/>
        </w:rPr>
        <w:t>万元，其中，一般公共服务支出</w:t>
      </w:r>
      <w:r>
        <w:rPr>
          <w:rFonts w:hint="eastAsia" w:ascii="仿宋" w:hAnsi="仿宋" w:eastAsia="仿宋"/>
          <w:sz w:val="32"/>
          <w:szCs w:val="32"/>
          <w:lang w:val="en-US" w:eastAsia="zh-CN"/>
        </w:rPr>
        <w:t>65.87</w:t>
      </w:r>
      <w:r>
        <w:rPr>
          <w:rFonts w:hint="eastAsia" w:ascii="仿宋" w:hAnsi="仿宋" w:eastAsia="仿宋"/>
          <w:sz w:val="32"/>
          <w:szCs w:val="32"/>
        </w:rPr>
        <w:t>万元，占</w:t>
      </w:r>
      <w:r>
        <w:rPr>
          <w:rFonts w:hint="eastAsia" w:ascii="仿宋" w:hAnsi="仿宋" w:eastAsia="仿宋"/>
          <w:sz w:val="32"/>
          <w:szCs w:val="32"/>
          <w:lang w:val="en-US" w:eastAsia="zh-CN"/>
        </w:rPr>
        <w:t>89.20</w:t>
      </w:r>
      <w:r>
        <w:rPr>
          <w:rFonts w:hint="eastAsia" w:ascii="仿宋" w:hAnsi="仿宋" w:eastAsia="仿宋"/>
          <w:sz w:val="32"/>
          <w:szCs w:val="32"/>
        </w:rPr>
        <w:t xml:space="preserve"> %；公共安全支出0万元，占0 %。具体安排情况如下：</w:t>
      </w:r>
    </w:p>
    <w:p>
      <w:pPr>
        <w:widowControl/>
        <w:spacing w:line="600" w:lineRule="exact"/>
        <w:ind w:firstLine="660"/>
        <w:jc w:val="left"/>
        <w:rPr>
          <w:rFonts w:hint="eastAsia" w:ascii="楷体_GB2312" w:hAnsi="楷体_GB2312" w:eastAsia="楷体_GB2312"/>
          <w:sz w:val="32"/>
          <w:szCs w:val="32"/>
        </w:rPr>
      </w:pPr>
      <w:r>
        <w:rPr>
          <w:rFonts w:ascii="楷体_GB2312" w:hAnsi="楷体_GB2312" w:eastAsia="楷体_GB2312"/>
          <w:sz w:val="32"/>
          <w:szCs w:val="32"/>
        </w:rPr>
        <w:t>（一）基本支出</w:t>
      </w:r>
      <w:r>
        <w:rPr>
          <w:rFonts w:hint="eastAsia" w:ascii="楷体_GB2312" w:hAnsi="楷体_GB2312" w:eastAsia="楷体_GB2312"/>
          <w:sz w:val="32"/>
          <w:szCs w:val="32"/>
        </w:rPr>
        <w:t>情况</w:t>
      </w:r>
    </w:p>
    <w:p>
      <w:pPr>
        <w:widowControl/>
        <w:spacing w:line="600" w:lineRule="exact"/>
        <w:ind w:firstLine="660"/>
        <w:jc w:val="left"/>
        <w:rPr>
          <w:rFonts w:hint="eastAsia" w:eastAsia="仿宋_GB2312"/>
          <w:sz w:val="32"/>
          <w:szCs w:val="32"/>
        </w:rPr>
      </w:pPr>
      <w:r>
        <w:rPr>
          <w:rFonts w:hint="eastAsia" w:eastAsia="仿宋_GB2312"/>
          <w:sz w:val="32"/>
          <w:szCs w:val="32"/>
          <w:lang w:eastAsia="zh-CN"/>
        </w:rPr>
        <w:t>202</w:t>
      </w:r>
      <w:r>
        <w:rPr>
          <w:rFonts w:hint="eastAsia" w:eastAsia="仿宋_GB2312"/>
          <w:sz w:val="32"/>
          <w:szCs w:val="32"/>
          <w:lang w:val="en-US" w:eastAsia="zh-CN"/>
        </w:rPr>
        <w:t>4</w:t>
      </w:r>
      <w:r>
        <w:rPr>
          <w:rFonts w:eastAsia="仿宋_GB2312"/>
          <w:sz w:val="32"/>
          <w:szCs w:val="32"/>
        </w:rPr>
        <w:t>年本部门基本支出预算数</w:t>
      </w:r>
      <w:r>
        <w:rPr>
          <w:rFonts w:hint="eastAsia" w:eastAsia="仿宋_GB2312"/>
          <w:sz w:val="32"/>
          <w:szCs w:val="32"/>
          <w:lang w:val="en-US" w:eastAsia="zh-CN"/>
        </w:rPr>
        <w:t>36.18</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ascii="楷体_GB2312" w:hAnsi="楷体_GB2312" w:eastAsia="楷体_GB2312"/>
          <w:sz w:val="32"/>
          <w:szCs w:val="32"/>
        </w:rPr>
      </w:pPr>
      <w:r>
        <w:rPr>
          <w:rFonts w:ascii="楷体_GB2312" w:hAnsi="楷体_GB2312" w:eastAsia="楷体_GB2312"/>
          <w:sz w:val="32"/>
          <w:szCs w:val="32"/>
        </w:rPr>
        <w:t>（二）项目支出</w:t>
      </w:r>
      <w:r>
        <w:rPr>
          <w:rFonts w:hint="eastAsia" w:ascii="楷体_GB2312" w:hAnsi="楷体_GB2312" w:eastAsia="楷体_GB2312"/>
          <w:sz w:val="32"/>
          <w:szCs w:val="32"/>
        </w:rPr>
        <w:t>情况</w:t>
      </w:r>
    </w:p>
    <w:p>
      <w:pPr>
        <w:spacing w:line="600" w:lineRule="atLeast"/>
        <w:ind w:firstLine="660"/>
        <w:rPr>
          <w:rFonts w:hint="eastAsia" w:eastAsia="仿宋_GB2312"/>
          <w:sz w:val="32"/>
          <w:szCs w:val="32"/>
        </w:rPr>
      </w:pPr>
      <w:r>
        <w:rPr>
          <w:rFonts w:hint="eastAsia" w:eastAsia="仿宋_GB2312"/>
          <w:sz w:val="32"/>
          <w:szCs w:val="32"/>
          <w:lang w:eastAsia="zh-CN"/>
        </w:rPr>
        <w:t>202</w:t>
      </w:r>
      <w:r>
        <w:rPr>
          <w:rFonts w:hint="eastAsia" w:eastAsia="仿宋_GB2312"/>
          <w:sz w:val="32"/>
          <w:szCs w:val="32"/>
          <w:lang w:val="en-US" w:eastAsia="zh-CN"/>
        </w:rPr>
        <w:t>4</w:t>
      </w:r>
      <w:r>
        <w:rPr>
          <w:rFonts w:eastAsia="仿宋_GB2312"/>
          <w:sz w:val="32"/>
          <w:szCs w:val="32"/>
        </w:rPr>
        <w:t>年本部门项目支出预算</w:t>
      </w:r>
      <w:r>
        <w:rPr>
          <w:rFonts w:hint="eastAsia" w:eastAsia="仿宋_GB2312" w:cs="Times New Roman"/>
          <w:sz w:val="32"/>
          <w:szCs w:val="32"/>
          <w:lang w:val="en-US" w:eastAsia="zh-CN"/>
        </w:rPr>
        <w:t>61.79</w:t>
      </w:r>
      <w:r>
        <w:rPr>
          <w:rFonts w:eastAsia="仿宋_GB2312"/>
          <w:sz w:val="32"/>
          <w:szCs w:val="32"/>
        </w:rPr>
        <w:t>万元，主要是部门为完成特定行政工作任务或事业发展目标而发生的支出，包括有关事业发展专项、专项业务费、基本建设支出等，</w:t>
      </w:r>
      <w:r>
        <w:rPr>
          <w:rFonts w:hint="eastAsia" w:eastAsia="仿宋_GB2312"/>
          <w:sz w:val="32"/>
          <w:szCs w:val="32"/>
        </w:rPr>
        <w:t>其中：档案保管保护费</w:t>
      </w:r>
      <w:r>
        <w:rPr>
          <w:rFonts w:hint="eastAsia" w:eastAsia="仿宋_GB2312"/>
          <w:sz w:val="32"/>
          <w:szCs w:val="32"/>
          <w:lang w:val="en-US" w:eastAsia="zh-CN"/>
        </w:rPr>
        <w:t>4.55</w:t>
      </w:r>
      <w:r>
        <w:rPr>
          <w:rFonts w:hint="eastAsia" w:eastAsia="仿宋_GB2312"/>
          <w:sz w:val="32"/>
          <w:szCs w:val="32"/>
        </w:rPr>
        <w:t>万元，网络信息构建、档案管理平台建设费用</w:t>
      </w:r>
      <w:r>
        <w:rPr>
          <w:rFonts w:hint="eastAsia" w:eastAsia="仿宋_GB2312"/>
          <w:sz w:val="32"/>
          <w:szCs w:val="32"/>
          <w:lang w:val="en-US" w:eastAsia="zh-CN"/>
        </w:rPr>
        <w:t>2.5</w:t>
      </w:r>
      <w:r>
        <w:rPr>
          <w:rFonts w:hint="eastAsia" w:eastAsia="仿宋_GB2312"/>
          <w:sz w:val="32"/>
          <w:szCs w:val="32"/>
        </w:rPr>
        <w:t>万元、档案馆运行水电费1</w:t>
      </w:r>
      <w:r>
        <w:rPr>
          <w:rFonts w:hint="eastAsia" w:eastAsia="仿宋_GB2312"/>
          <w:sz w:val="32"/>
          <w:szCs w:val="32"/>
          <w:lang w:val="en-US" w:eastAsia="zh-CN"/>
        </w:rPr>
        <w:t>8</w:t>
      </w:r>
      <w:r>
        <w:rPr>
          <w:rFonts w:hint="eastAsia" w:eastAsia="仿宋_GB2312"/>
          <w:sz w:val="32"/>
          <w:szCs w:val="32"/>
        </w:rPr>
        <w:t>万元</w:t>
      </w:r>
      <w:r>
        <w:rPr>
          <w:rFonts w:hint="eastAsia" w:eastAsia="仿宋_GB2312"/>
          <w:sz w:val="32"/>
          <w:szCs w:val="32"/>
          <w:lang w:eastAsia="zh-CN"/>
        </w:rPr>
        <w:t>、档案馆六楼会议室维护费</w:t>
      </w:r>
      <w:r>
        <w:rPr>
          <w:rFonts w:hint="eastAsia" w:eastAsia="仿宋_GB2312"/>
          <w:sz w:val="32"/>
          <w:szCs w:val="32"/>
          <w:lang w:val="en-US" w:eastAsia="zh-CN"/>
        </w:rPr>
        <w:t>9.2万元、电梯维护费1万元,档案馆建设费用24.13万元</w:t>
      </w:r>
      <w:r>
        <w:rPr>
          <w:rFonts w:hint="eastAsia" w:eastAsia="仿宋_GB2312"/>
          <w:sz w:val="32"/>
          <w:szCs w:val="32"/>
        </w:rPr>
        <w:t>。</w:t>
      </w:r>
    </w:p>
    <w:p>
      <w:pPr>
        <w:numPr>
          <w:ilvl w:val="0"/>
          <w:numId w:val="2"/>
        </w:numPr>
        <w:spacing w:line="600" w:lineRule="atLeast"/>
        <w:ind w:firstLine="660"/>
        <w:rPr>
          <w:rFonts w:hint="eastAsia" w:ascii="Times New Roman" w:hAnsi="Times New Roman" w:eastAsia="黑体"/>
          <w:sz w:val="32"/>
          <w:szCs w:val="32"/>
        </w:rPr>
      </w:pPr>
      <w:r>
        <w:rPr>
          <w:rFonts w:hint="eastAsia" w:ascii="Times New Roman" w:hAnsi="Times New Roman" w:eastAsia="黑体"/>
          <w:sz w:val="32"/>
          <w:szCs w:val="32"/>
        </w:rPr>
        <w:t>政府性基金预算支出情况。</w:t>
      </w:r>
    </w:p>
    <w:p>
      <w:pPr>
        <w:numPr>
          <w:ilvl w:val="0"/>
          <w:numId w:val="0"/>
        </w:numPr>
        <w:spacing w:line="600" w:lineRule="atLeas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为</w:t>
      </w:r>
      <w:r>
        <w:rPr>
          <w:rFonts w:hint="eastAsia" w:eastAsia="仿宋_GB2312" w:cs="Times New Roman"/>
          <w:sz w:val="32"/>
          <w:szCs w:val="32"/>
          <w:lang w:val="en-US" w:eastAsia="zh-CN"/>
        </w:rPr>
        <w:t>24.13</w:t>
      </w:r>
      <w:r>
        <w:rPr>
          <w:rFonts w:hint="eastAsia" w:ascii="Times New Roman" w:hAnsi="Times New Roman" w:eastAsia="仿宋_GB2312" w:cs="Times New Roman"/>
          <w:sz w:val="32"/>
          <w:szCs w:val="32"/>
          <w:lang w:val="en-US" w:eastAsia="zh-CN"/>
        </w:rPr>
        <w:t>万元，是新档案馆大楼建设资金支出。</w:t>
      </w:r>
    </w:p>
    <w:p>
      <w:pPr>
        <w:pStyle w:val="10"/>
        <w:spacing w:beforeLines="0" w:afterLines="0" w:line="570" w:lineRule="exact"/>
        <w:ind w:firstLine="640"/>
        <w:jc w:val="left"/>
        <w:outlineLvl w:val="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pPr>
        <w:pStyle w:val="10"/>
        <w:spacing w:beforeLines="0" w:afterLines="0" w:line="570" w:lineRule="exact"/>
        <w:ind w:firstLine="640"/>
        <w:jc w:val="left"/>
        <w:outlineLvl w:val="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pPr>
        <w:spacing w:beforeLines="0" w:afterLines="0" w:line="570" w:lineRule="exact"/>
        <w:ind w:firstLine="645"/>
        <w:jc w:val="left"/>
        <w:outlineLvl w:val="0"/>
        <w:rPr>
          <w:rFonts w:hint="default" w:eastAsia="黑体"/>
          <w:sz w:val="32"/>
          <w:szCs w:val="32"/>
        </w:rPr>
      </w:pPr>
      <w:r>
        <w:rPr>
          <w:rFonts w:hint="eastAsia" w:eastAsia="黑体"/>
          <w:sz w:val="32"/>
          <w:szCs w:val="32"/>
        </w:rPr>
        <w:t>六、部门整体支出绩效情况</w:t>
      </w:r>
    </w:p>
    <w:p>
      <w:pPr>
        <w:widowControl/>
        <w:ind w:firstLine="643"/>
        <w:rPr>
          <w:rFonts w:hint="eastAsia" w:ascii="楷体_GB2312" w:eastAsia="楷体_GB2312"/>
          <w:color w:val="222222"/>
          <w:kern w:val="0"/>
          <w:sz w:val="32"/>
          <w:szCs w:val="32"/>
        </w:rPr>
      </w:pPr>
      <w:r>
        <w:rPr>
          <w:rFonts w:hint="eastAsia" w:ascii="楷体_GB2312" w:eastAsia="楷体_GB2312"/>
          <w:color w:val="222222"/>
          <w:kern w:val="0"/>
          <w:sz w:val="32"/>
          <w:szCs w:val="32"/>
        </w:rPr>
        <w:t>（一）</w:t>
      </w:r>
      <w:r>
        <w:rPr>
          <w:rFonts w:hint="eastAsia" w:ascii="楷体_GB2312" w:eastAsia="楷体_GB2312"/>
          <w:color w:val="222222"/>
          <w:kern w:val="0"/>
          <w:sz w:val="32"/>
          <w:szCs w:val="32"/>
          <w:lang w:eastAsia="zh-CN"/>
        </w:rPr>
        <w:t>202</w:t>
      </w:r>
      <w:r>
        <w:rPr>
          <w:rFonts w:hint="eastAsia" w:ascii="楷体_GB2312" w:eastAsia="楷体_GB2312"/>
          <w:color w:val="222222"/>
          <w:kern w:val="0"/>
          <w:sz w:val="32"/>
          <w:szCs w:val="32"/>
          <w:lang w:val="en-US" w:eastAsia="zh-CN"/>
        </w:rPr>
        <w:t>4</w:t>
      </w:r>
      <w:r>
        <w:rPr>
          <w:rFonts w:hint="eastAsia" w:ascii="楷体_GB2312" w:eastAsia="楷体_GB2312"/>
          <w:color w:val="222222"/>
          <w:kern w:val="0"/>
          <w:sz w:val="32"/>
          <w:szCs w:val="32"/>
        </w:rPr>
        <w:t>年预算规模情况</w:t>
      </w:r>
    </w:p>
    <w:p>
      <w:pPr>
        <w:pStyle w:val="10"/>
        <w:spacing w:beforeLines="0" w:afterLines="0" w:line="570" w:lineRule="exact"/>
        <w:ind w:firstLine="640"/>
        <w:jc w:val="left"/>
        <w:outlineLvl w:val="0"/>
        <w:rPr>
          <w:color w:val="222222"/>
          <w:kern w:val="0"/>
          <w:sz w:val="32"/>
          <w:szCs w:val="32"/>
        </w:rPr>
      </w:pPr>
      <w:r>
        <w:rPr>
          <w:rFonts w:hint="eastAsia" w:ascii="宋体"/>
          <w:color w:val="222222"/>
          <w:kern w:val="0"/>
          <w:sz w:val="32"/>
          <w:szCs w:val="32"/>
        </w:rPr>
        <w:t>1．预算资金情况</w:t>
      </w:r>
    </w:p>
    <w:p>
      <w:pPr>
        <w:pStyle w:val="10"/>
        <w:spacing w:beforeLines="0" w:afterLines="0" w:line="570" w:lineRule="exact"/>
        <w:ind w:firstLine="640"/>
        <w:jc w:val="left"/>
        <w:outlineLvl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年预算收支情况如下：本年预算总收入</w:t>
      </w:r>
      <w:r>
        <w:rPr>
          <w:rFonts w:hint="eastAsia" w:ascii="Times New Roman" w:hAnsi="Times New Roman" w:eastAsia="仿宋_GB2312"/>
          <w:color w:val="000000"/>
          <w:sz w:val="32"/>
          <w:szCs w:val="32"/>
          <w:lang w:val="en-US" w:eastAsia="zh-CN"/>
        </w:rPr>
        <w:t>97.97</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其中：</w:t>
      </w:r>
      <w:r>
        <w:rPr>
          <w:rFonts w:hint="eastAsia" w:ascii="Times New Roman" w:hAnsi="Times New Roman" w:eastAsia="仿宋_GB2312"/>
          <w:color w:val="000000"/>
          <w:sz w:val="32"/>
          <w:szCs w:val="32"/>
        </w:rPr>
        <w:t>正常经费拨款收入</w:t>
      </w:r>
      <w:r>
        <w:rPr>
          <w:rFonts w:hint="eastAsia" w:ascii="Times New Roman" w:hAnsi="Times New Roman" w:eastAsia="仿宋_GB2312"/>
          <w:color w:val="000000"/>
          <w:sz w:val="32"/>
          <w:szCs w:val="32"/>
          <w:lang w:val="en-US" w:eastAsia="zh-CN"/>
        </w:rPr>
        <w:t>73.84</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专项拨款收入</w:t>
      </w:r>
      <w:r>
        <w:rPr>
          <w:rFonts w:hint="eastAsia" w:ascii="Times New Roman" w:hAnsi="Times New Roman" w:eastAsia="仿宋_GB2312"/>
          <w:color w:val="000000"/>
          <w:sz w:val="32"/>
          <w:szCs w:val="32"/>
          <w:lang w:val="en-US" w:eastAsia="zh-CN"/>
        </w:rPr>
        <w:t>24.13</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rPr>
        <w:t>上年结转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p>
    <w:p>
      <w:pPr>
        <w:pStyle w:val="10"/>
        <w:spacing w:beforeLines="0" w:afterLines="0" w:line="570" w:lineRule="exact"/>
        <w:ind w:firstLine="640"/>
        <w:jc w:val="left"/>
        <w:outlineLvl w:val="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财政拨款资金具体使用方向如下：本年预算总支出</w:t>
      </w:r>
      <w:r>
        <w:rPr>
          <w:rFonts w:hint="eastAsia" w:ascii="Times New Roman" w:hAnsi="Times New Roman" w:eastAsia="仿宋_GB2312"/>
          <w:color w:val="000000"/>
          <w:sz w:val="32"/>
          <w:szCs w:val="32"/>
          <w:lang w:val="en-US" w:eastAsia="zh-CN"/>
        </w:rPr>
        <w:t>97.97</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单位基本支出</w:t>
      </w:r>
      <w:r>
        <w:rPr>
          <w:rFonts w:hint="eastAsia" w:ascii="Times New Roman" w:hAnsi="Times New Roman" w:eastAsia="仿宋_GB2312"/>
          <w:color w:val="000000"/>
          <w:sz w:val="32"/>
          <w:szCs w:val="32"/>
          <w:lang w:val="en-US" w:eastAsia="zh-CN"/>
        </w:rPr>
        <w:t>36.18</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单位项目支出</w:t>
      </w:r>
      <w:r>
        <w:rPr>
          <w:rFonts w:hint="eastAsia" w:ascii="Times New Roman" w:hAnsi="Times New Roman" w:eastAsia="仿宋_GB2312"/>
          <w:color w:val="000000"/>
          <w:sz w:val="32"/>
          <w:szCs w:val="32"/>
          <w:lang w:val="en-US" w:eastAsia="zh-CN"/>
        </w:rPr>
        <w:t>61.79</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 xml:space="preserve">  </w:t>
      </w:r>
    </w:p>
    <w:p>
      <w:pPr>
        <w:pStyle w:val="10"/>
        <w:spacing w:beforeLines="0" w:afterLines="0" w:line="570" w:lineRule="exact"/>
        <w:ind w:firstLine="640"/>
        <w:jc w:val="left"/>
        <w:outlineLvl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上年结余资金在预算指标文下达时即已明确使用用途和使用方向，需专款专用。</w:t>
      </w:r>
    </w:p>
    <w:p>
      <w:pPr>
        <w:widowControl/>
        <w:ind w:firstLine="160" w:firstLineChars="50"/>
        <w:rPr>
          <w:rFonts w:hint="eastAsia" w:ascii="宋体"/>
          <w:b/>
          <w:bCs/>
          <w:color w:val="222222"/>
          <w:kern w:val="0"/>
          <w:sz w:val="32"/>
          <w:szCs w:val="32"/>
        </w:rPr>
      </w:pPr>
      <w:r>
        <w:rPr>
          <w:rFonts w:hint="eastAsia" w:ascii="宋体"/>
          <w:b/>
          <w:bCs/>
          <w:color w:val="222222"/>
          <w:kern w:val="0"/>
          <w:sz w:val="32"/>
          <w:szCs w:val="32"/>
        </w:rPr>
        <w:t>（二）年度预算收支决算情况</w:t>
      </w:r>
    </w:p>
    <w:p>
      <w:pPr>
        <w:pStyle w:val="10"/>
        <w:spacing w:beforeLines="0" w:afterLines="0" w:line="570" w:lineRule="exact"/>
        <w:ind w:firstLine="640"/>
        <w:jc w:val="left"/>
        <w:outlineLvl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年一般公共预算财政拨款支出年初预算为</w:t>
      </w:r>
      <w:r>
        <w:rPr>
          <w:rFonts w:hint="eastAsia" w:ascii="Times New Roman" w:hAnsi="Times New Roman" w:eastAsia="仿宋_GB2312"/>
          <w:color w:val="000000"/>
          <w:sz w:val="32"/>
          <w:szCs w:val="32"/>
          <w:lang w:val="en-US" w:eastAsia="zh-CN"/>
        </w:rPr>
        <w:t>97.97</w:t>
      </w:r>
      <w:r>
        <w:rPr>
          <w:rFonts w:hint="eastAsia" w:ascii="Times New Roman" w:hAnsi="Times New Roman" w:eastAsia="仿宋_GB2312"/>
          <w:color w:val="000000"/>
          <w:sz w:val="32"/>
          <w:szCs w:val="32"/>
        </w:rPr>
        <w:t>万元，支出决算为</w:t>
      </w:r>
      <w:r>
        <w:rPr>
          <w:rFonts w:hint="eastAsia" w:ascii="Times New Roman" w:hAnsi="Times New Roman" w:eastAsia="仿宋_GB2312"/>
          <w:color w:val="000000"/>
          <w:sz w:val="32"/>
          <w:szCs w:val="32"/>
          <w:lang w:val="en-US" w:eastAsia="zh-CN"/>
        </w:rPr>
        <w:t>97.97</w:t>
      </w:r>
      <w:r>
        <w:rPr>
          <w:rFonts w:hint="eastAsia" w:ascii="Times New Roman" w:hAnsi="Times New Roman" w:eastAsia="仿宋_GB2312"/>
          <w:color w:val="000000"/>
          <w:sz w:val="32"/>
          <w:szCs w:val="32"/>
        </w:rPr>
        <w:t>万元。</w:t>
      </w:r>
    </w:p>
    <w:p>
      <w:pPr>
        <w:pStyle w:val="10"/>
        <w:spacing w:beforeLines="0" w:afterLines="0" w:line="570" w:lineRule="exact"/>
        <w:ind w:firstLine="640"/>
        <w:jc w:val="left"/>
        <w:outlineLvl w:val="0"/>
        <w:rPr>
          <w:rFonts w:hint="default" w:ascii="Times New Roman" w:hAnsi="Times New Roman" w:eastAsia="黑体"/>
          <w:sz w:val="32"/>
          <w:szCs w:val="32"/>
        </w:rPr>
      </w:pPr>
      <w:r>
        <w:rPr>
          <w:rFonts w:hint="eastAsia" w:ascii="Times New Roman" w:hAnsi="Times New Roman" w:eastAsia="黑体"/>
          <w:sz w:val="32"/>
          <w:szCs w:val="32"/>
        </w:rPr>
        <w:t>七、存在的问题及原因分析</w:t>
      </w:r>
    </w:p>
    <w:p>
      <w:pPr>
        <w:pStyle w:val="10"/>
        <w:spacing w:beforeLines="0" w:afterLines="0" w:line="570" w:lineRule="exact"/>
        <w:ind w:firstLine="640"/>
        <w:jc w:val="left"/>
        <w:outlineLvl w:val="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预算编制细化不够，年初预算和科目设置与实际发生情况有一定的出入。</w:t>
      </w:r>
    </w:p>
    <w:p>
      <w:pPr>
        <w:numPr>
          <w:ilvl w:val="0"/>
          <w:numId w:val="3"/>
        </w:numPr>
        <w:spacing w:line="600" w:lineRule="exact"/>
        <w:ind w:firstLine="640" w:firstLineChars="200"/>
        <w:rPr>
          <w:rFonts w:ascii="黑体" w:hAnsi="黑体" w:eastAsia="黑体"/>
          <w:sz w:val="32"/>
          <w:szCs w:val="32"/>
        </w:rPr>
      </w:pPr>
      <w:r>
        <w:rPr>
          <w:rFonts w:ascii="黑体" w:hAnsi="黑体" w:eastAsia="黑体"/>
          <w:sz w:val="32"/>
          <w:szCs w:val="32"/>
        </w:rPr>
        <w:t>下一步改进措施</w:t>
      </w:r>
    </w:p>
    <w:p>
      <w:pPr>
        <w:ind w:firstLine="640" w:firstLineChars="200"/>
        <w:rPr>
          <w:rFonts w:hint="eastAsia" w:eastAsia="仿宋_GB2312"/>
          <w:sz w:val="32"/>
          <w:szCs w:val="32"/>
        </w:rPr>
      </w:pPr>
      <w:r>
        <w:rPr>
          <w:rFonts w:hint="eastAsia" w:eastAsia="仿宋_GB2312"/>
          <w:sz w:val="32"/>
          <w:szCs w:val="32"/>
        </w:rPr>
        <w:t>1、细化预算编制工作，认真做好预算的编制。进一步加强本单位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ind w:firstLine="640" w:firstLineChars="200"/>
        <w:rPr>
          <w:rFonts w:hint="eastAsia" w:eastAsia="仿宋_GB2312"/>
          <w:sz w:val="32"/>
          <w:szCs w:val="32"/>
        </w:rPr>
      </w:pPr>
      <w:r>
        <w:rPr>
          <w:rFonts w:hint="eastAsia" w:eastAsia="仿宋_GB2312"/>
          <w:sz w:val="32"/>
          <w:szCs w:val="32"/>
        </w:rPr>
        <w:t>2、加强财务管理，严格财务审核。在费用报账支付时，按照预算规定的费用项目和用途进行资金使用审核、列报支付、财务核算，杜绝超支现象的发生。</w:t>
      </w:r>
    </w:p>
    <w:p>
      <w:pPr>
        <w:ind w:firstLine="640" w:firstLineChars="200"/>
        <w:rPr>
          <w:rFonts w:hint="eastAsia" w:eastAsia="仿宋_GB2312"/>
          <w:sz w:val="32"/>
          <w:szCs w:val="32"/>
        </w:rPr>
      </w:pPr>
      <w:r>
        <w:rPr>
          <w:rFonts w:hint="eastAsia" w:eastAsia="仿宋_GB2312"/>
          <w:sz w:val="32"/>
          <w:szCs w:val="32"/>
        </w:rPr>
        <w:t>3、持续抓好“三公”经费控制管理。严格控制“三公”经费的规模和比例，把关“三公”经费支出的审核、审批，杜绝挪用和挤占其他预算资金行为；进一步细化“三公”经费的管理，合理压缩“三公”经费支出。</w:t>
      </w:r>
    </w:p>
    <w:p>
      <w:pPr>
        <w:ind w:firstLine="640" w:firstLineChars="200"/>
        <w:rPr>
          <w:rFonts w:ascii="黑体" w:hAnsi="黑体" w:eastAsia="黑体"/>
          <w:sz w:val="32"/>
          <w:szCs w:val="32"/>
        </w:rPr>
      </w:pPr>
      <w:r>
        <w:rPr>
          <w:rFonts w:hint="eastAsia" w:eastAsia="仿宋_GB2312"/>
          <w:sz w:val="32"/>
          <w:szCs w:val="32"/>
        </w:rPr>
        <w:t>4、加强项目开展进度的跟踪，开展项目绩效评价，确保项目绩效目标的完成。</w:t>
      </w:r>
    </w:p>
    <w:p>
      <w:pPr>
        <w:spacing w:line="600" w:lineRule="exact"/>
        <w:ind w:firstLine="640" w:firstLineChars="200"/>
        <w:rPr>
          <w:rFonts w:eastAsia="黑体"/>
          <w:sz w:val="32"/>
          <w:szCs w:val="32"/>
        </w:rPr>
      </w:pPr>
      <w:r>
        <w:rPr>
          <w:rFonts w:ascii="黑体" w:hAnsi="黑体" w:eastAsia="黑体"/>
          <w:sz w:val="32"/>
          <w:szCs w:val="32"/>
        </w:rPr>
        <w:t>九、绩效自评结果拟应用和公开情况</w:t>
      </w:r>
    </w:p>
    <w:p>
      <w:pPr>
        <w:spacing w:line="600" w:lineRule="exact"/>
        <w:ind w:firstLine="640" w:firstLineChars="200"/>
        <w:rPr>
          <w:rFonts w:eastAsia="仿宋_GB2312"/>
          <w:sz w:val="32"/>
          <w:szCs w:val="32"/>
        </w:rPr>
      </w:pPr>
      <w:r>
        <w:rPr>
          <w:rFonts w:hint="eastAsia" w:eastAsia="仿宋_GB2312"/>
          <w:sz w:val="32"/>
          <w:szCs w:val="32"/>
          <w:lang w:eastAsia="zh-CN"/>
        </w:rPr>
        <w:t>202</w:t>
      </w:r>
      <w:r>
        <w:rPr>
          <w:rFonts w:hint="eastAsia" w:eastAsia="仿宋_GB2312"/>
          <w:sz w:val="32"/>
          <w:szCs w:val="32"/>
          <w:lang w:val="en-US" w:eastAsia="zh-CN"/>
        </w:rPr>
        <w:t>4</w:t>
      </w:r>
      <w:r>
        <w:rPr>
          <w:rFonts w:hint="eastAsia" w:eastAsia="仿宋_GB2312"/>
          <w:sz w:val="32"/>
          <w:szCs w:val="32"/>
        </w:rPr>
        <w:t>年县档案馆绩效自我评价，达到了预期目标，取得了良好成效，并在政府网上予以公开。</w:t>
      </w:r>
      <w:r>
        <w:rPr>
          <w:rFonts w:eastAsia="仿宋_GB2312"/>
          <w:sz w:val="32"/>
          <w:szCs w:val="32"/>
        </w:rPr>
        <w:t xml:space="preserve"> </w:t>
      </w:r>
    </w:p>
    <w:p>
      <w:pPr>
        <w:spacing w:line="600" w:lineRule="exact"/>
        <w:ind w:firstLine="420" w:firstLineChars="200"/>
        <w:rPr>
          <w:rFonts w:hint="eastAsia"/>
        </w:rPr>
      </w:pPr>
    </w:p>
    <w:p>
      <w:pPr>
        <w:spacing w:line="600" w:lineRule="exact"/>
        <w:ind w:firstLine="420" w:firstLineChars="200"/>
        <w:rPr>
          <w:rFonts w:hint="eastAsia"/>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33.07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34.28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34.28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宋体" w:hAnsi="宋体" w:eastAsia="宋体" w:cs="宋体"/>
                <w:i w:val="0"/>
                <w:iCs w:val="0"/>
                <w:color w:val="000000"/>
                <w:kern w:val="0"/>
                <w:sz w:val="18"/>
                <w:szCs w:val="18"/>
                <w:u w:val="none"/>
                <w:lang w:val="en-US" w:eastAsia="zh-CN" w:bidi="ar"/>
              </w:rPr>
              <w:t>17.95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宋体" w:hAnsi="宋体" w:eastAsia="宋体" w:cs="宋体"/>
                <w:i w:val="0"/>
                <w:iCs w:val="0"/>
                <w:color w:val="000000"/>
                <w:kern w:val="0"/>
                <w:sz w:val="18"/>
                <w:szCs w:val="18"/>
                <w:u w:val="none"/>
                <w:lang w:val="en-US" w:eastAsia="zh-CN" w:bidi="ar"/>
              </w:rPr>
              <w:t>17.84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sz w:val="24"/>
                <w:szCs w:val="24"/>
              </w:rPr>
            </w:pPr>
            <w:r>
              <w:rPr>
                <w:rFonts w:hint="eastAsia" w:ascii="宋体" w:hAnsi="宋体" w:eastAsia="宋体" w:cs="宋体"/>
                <w:i w:val="0"/>
                <w:iCs w:val="0"/>
                <w:color w:val="000000"/>
                <w:kern w:val="0"/>
                <w:sz w:val="18"/>
                <w:szCs w:val="18"/>
                <w:u w:val="none"/>
                <w:lang w:val="en-US" w:eastAsia="zh-CN" w:bidi="ar"/>
              </w:rPr>
              <w:t>17.84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0.75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1.84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17.2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960" w:firstLineChars="4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1.档案保管保护、网络信息构建、电梯维护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2.六楼会议室维护管理费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3.县综合档案馆运行水电费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11.69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18"/>
                <w:szCs w:val="18"/>
                <w:u w:val="none"/>
                <w:lang w:val="en-US" w:eastAsia="zh-CN" w:bidi="ar"/>
              </w:rPr>
              <w:t>11.69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制订推进厉行节约的相关制度，降低行政运行成本，提高资金使用绩效。　</w:t>
            </w:r>
          </w:p>
        </w:tc>
      </w:tr>
    </w:tbl>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：唐璟</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20250616</w:t>
      </w:r>
      <w:r>
        <w:rPr>
          <w:rFonts w:hint="eastAsia" w:asciiTheme="minorEastAsia" w:hAnsiTheme="minorEastAsia" w:eastAsiaTheme="minorEastAsia" w:cstheme="minorEastAsia"/>
          <w:sz w:val="24"/>
          <w:szCs w:val="24"/>
        </w:rPr>
        <w:t xml:space="preserve">  联系电话：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永州市双牌县档案馆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60.42</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102.08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96.27</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94.30%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72.48</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34.28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firstLine="960" w:firstLineChars="4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24.13</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firstLine="720" w:firstLineChars="3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61.98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firstLine="1680" w:firstLineChars="700"/>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5.46</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目标1：管理、接收、征集、整理县直单位的重要档案和有关资料；</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目标2：开发档案信息资源，推进档案信息网络建设；</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目标3：承办县委、县人民政府交办的其他事项。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1、开展县内各单位、组织机构的档案接收整理工作。开展了2015年以来机构改革涉改单位档案的接收进馆工作，并覆盖全部应进馆涉改单位，制定了国有改制企业档案接收计划，并开展了接收工作。</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2、开展档案内容、载体、信息等安全保护工作。2024年我馆对档案业务规范化建设标准再次对标，对馆藏档案所有全宗均建立全宗卷，并确保全宗内容完整符合DA/T 12要求。今年我馆首次提标建立珍贵档案保管保护室，对我馆重点保护档案、珍贵档案的保管进行了彻底的加强，制定了珍贵档案保管保护制度，同时引进了新款臭氧紫外线消毒杀菌设备。</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 开展档案信息化建设工作。购入了更先进的数字化管理软件和硬件设备，完成馆藏档案目录全录入以及部分档案数字化扫描，统计应数字化永久档案共22382588页。</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发挥档案馆作为档案利用服务中心、政府信息公开中心的职能。我馆在显著位置展示了档案利用制度、要求和流程。我馆2024年共接待档案查询利用人数为2590余人/次，共复印档案9500余页。创新对干部晋升、各单位或部门举行各种会议提供了后勤服务。同时新增了老年人服务、存包服务、残疾人服务，对退休人员、项目建设山林纠纷等问题提供切实证据，获得人民群众一致好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档案保管保护</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11.42万余卷</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11.42万卷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档案开发利用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合理利用</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按要求保管，提供查询服务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为山林划界提供依据</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提供查询服务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提供查询2590余人/次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延长档案寿命，长远服务于社会</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为档案及时换盒、除虫等</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按标准落实到位</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延长档案寿命</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保护档案</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引进了新款臭氧紫外线消毒杀菌设备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资政存史育人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开展档案宣传教育活动</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6月9日进行了档案宣传</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提高查询利用档案的效率，更好地为广大社会服务。</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群众满意率达到100%，提升部门形象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default" w:asciiTheme="minorEastAsia" w:hAnsiTheme="minorEastAsia" w:eastAsiaTheme="minorEastAsia" w:cstheme="minorEastAsia"/>
                <w:color w:val="000000"/>
                <w:sz w:val="24"/>
                <w:szCs w:val="24"/>
                <w:lang w:val="en-US" w:eastAsia="zh-CN"/>
              </w:rPr>
              <w:t>群众满意率100%，没有投诉</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99.4</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 xml:space="preserve">填表人：        </w:t>
      </w:r>
      <w:r>
        <w:rPr>
          <w:rFonts w:hint="default" w:eastAsia="仿宋_GB2312"/>
          <w:sz w:val="22"/>
          <w:szCs w:val="24"/>
        </w:rPr>
        <w:t xml:space="preserve"> </w:t>
      </w:r>
      <w:r>
        <w:rPr>
          <w:rFonts w:hint="eastAsia" w:eastAsia="仿宋_GB2312"/>
          <w:sz w:val="22"/>
          <w:szCs w:val="24"/>
        </w:rPr>
        <w:t xml:space="preserve">填报日期：       </w:t>
      </w:r>
      <w:r>
        <w:rPr>
          <w:rFonts w:hint="default" w:eastAsia="仿宋_GB2312"/>
          <w:sz w:val="22"/>
          <w:szCs w:val="24"/>
        </w:rPr>
        <w:t xml:space="preserve">   </w:t>
      </w:r>
      <w:r>
        <w:rPr>
          <w:rFonts w:hint="eastAsia" w:eastAsia="仿宋_GB2312"/>
          <w:sz w:val="22"/>
          <w:szCs w:val="24"/>
        </w:rPr>
        <w:t>联系电话：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档案保管保护、网络信息构建、电梯维护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档案保管保护4.55万元、网络信息构建2.5万元、电梯维护费1万元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今年我馆首次提标建立珍贵档案保管保护室，对我馆重点保护档案、珍贵档案的保管进行了彻底的加强，制定了珍贵档案保管保护制度，同时引进了新款臭氧紫外线消毒杀菌设备，进一步增加了我馆对进馆档案的消毒杀菌和保管保护能力。</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我馆积极响应国家关于档案信息化建设的号召，推进了档案管理系统的升级换代，购入了更先进的数字化管理软件和硬件设备，完成馆藏档案目录全录入以及部分档案数字化扫描，统计应数字化永久档案共22382588页。实现了档案资源的在线存储、在线访问，极大地提升了档案利用效率和便捷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六楼会议室维护管理费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六楼会议室维护管理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我馆对县委、县政府以及全县各单位或部门举行各种会议提供了后勤服务，全年提供会议场所200场次以上。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县综合档案馆运行水电费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保证县综合档案馆水电正常运行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按月按实际产生费用对档案馆大楼所产生的水电费及时进行缴纳，保证大楼的正常运行。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pStyle w:val="2"/>
        <w:rPr>
          <w:rFonts w:hint="eastAsia"/>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档案保管保护、网络信息构建、电梯维护</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8.05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上</w:t>
            </w:r>
            <w:r>
              <w:rPr>
                <w:rFonts w:hint="eastAsia" w:asciiTheme="minorEastAsia" w:hAnsiTheme="minorEastAsia" w:eastAsiaTheme="minorEastAsia" w:cstheme="minorEastAsia"/>
                <w:color w:val="000000"/>
                <w:sz w:val="24"/>
                <w:szCs w:val="24"/>
              </w:rPr>
              <w:t>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档案保管保护4.55万元、网络信息构建2.5万元、电梯维护费1万元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今年我馆首次提标建立珍贵档案保管保护室，对我馆重点保护档案、珍贵档案的保管进行了彻底的加强，制定了珍贵档案保管保护制度，同时引进了新款臭氧紫外线消毒杀菌设备，进一步增加了我馆对进馆档案的消毒杀菌和保管保护能力。</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我馆积极响应国家关于档案信息化建设的号召，推进了档案管理系统的升级换代，购入了更先进的数字化管理软件和硬件设备，完成馆藏档案目录全录入以及部分档案数字化扫描，统计应数字化永久档案共22382588页。实现了档案资源的在线存储、在线访问，极大地提升了档案利用效率和便捷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经济成</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档案保管保护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8.05万元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8.05万元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6"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延长档案寿命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11.42万卷护费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提供档案电话咨询，同时新增了老年人、残疾人服务、存包服务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提高查询利用档案的效率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全年提供查询服务2000人次以上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共接待档案查询利用人数为2590余人/次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库房档案保管保护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11.42万卷</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11.42万卷</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电梯正常运行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每天都正常运行</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档案保管保护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1年</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为山林划界等提供依据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档案利用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退休人员、项目建设山林纠纷等问题提供切实证据</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延长档案寿命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保护档案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完成馆藏档案目录全录入以及部分档案数字化扫描</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延长档案寿命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保护档案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引进了新款臭氧紫外线消毒杀菌设备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满意度</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指标</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提升满意度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档案查询</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全年没有收到投诉</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六楼会议室维护管理费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微软雅黑" w:hAnsi="微软雅黑" w:eastAsia="微软雅黑" w:cs="微软雅黑"/>
                <w:i w:val="0"/>
                <w:iCs w:val="0"/>
                <w:color w:val="000000"/>
                <w:kern w:val="0"/>
                <w:sz w:val="20"/>
                <w:szCs w:val="20"/>
                <w:u w:val="none"/>
                <w:lang w:val="en-US" w:eastAsia="zh-CN" w:bidi="ar"/>
              </w:rPr>
              <w:t>6.2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上</w:t>
            </w:r>
            <w:r>
              <w:rPr>
                <w:rFonts w:hint="eastAsia" w:asciiTheme="minorEastAsia" w:hAnsiTheme="minorEastAsia" w:eastAsiaTheme="minorEastAsia" w:cstheme="minorEastAsia"/>
                <w:color w:val="000000"/>
                <w:sz w:val="24"/>
                <w:szCs w:val="24"/>
              </w:rPr>
              <w:t>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档案保管保护4.55万元、网络信息构建2.5万元、电梯维护费1万元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我馆对县委、县政府以及全县各单位或部门举行各种会议提供了后勤服务，全年提供会议场所200场次以上。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经济成</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会议室运行维护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6"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为全县召开各种会议提供场地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全年提供会议场所200场次以上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为全县召开各种会议提供场地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全年提供会议场所200场次以上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会议室维护管理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提供会议场所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全年提供会议场所200场次以上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资金及时到位</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足额拨付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保证会议场所的正常使用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全年维护</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会议室正常使用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维护管理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保证正常使用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会议室正常使用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全年提供会议场地服务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为全县召开各种会议提供场地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全年会议使用200次以上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满意度</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指标</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参会人员正常使用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使用人员满意度100%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       填报日期：         联系电话：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县综合档案馆运行水电费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永州市双牌县档案馆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上</w:t>
            </w:r>
            <w:r>
              <w:rPr>
                <w:rFonts w:hint="eastAsia" w:asciiTheme="minorEastAsia" w:hAnsiTheme="minorEastAsia" w:eastAsiaTheme="minorEastAsia" w:cstheme="minorEastAsia"/>
                <w:color w:val="000000"/>
                <w:sz w:val="24"/>
                <w:szCs w:val="24"/>
              </w:rPr>
              <w:t>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保证</w:t>
            </w:r>
            <w:r>
              <w:rPr>
                <w:rFonts w:hint="eastAsia" w:asciiTheme="minorEastAsia" w:hAnsiTheme="minorEastAsia" w:eastAsiaTheme="minorEastAsia" w:cstheme="minorEastAsia"/>
                <w:color w:val="000000"/>
                <w:sz w:val="24"/>
                <w:szCs w:val="24"/>
              </w:rPr>
              <w:t>县综合档案馆运行水电</w:t>
            </w:r>
            <w:r>
              <w:rPr>
                <w:rFonts w:hint="eastAsia" w:asciiTheme="minorEastAsia" w:hAnsiTheme="minorEastAsia" w:eastAsiaTheme="minorEastAsia" w:cstheme="minorEastAsia"/>
                <w:color w:val="000000"/>
                <w:sz w:val="24"/>
                <w:szCs w:val="24"/>
                <w:lang w:eastAsia="zh-CN"/>
              </w:rPr>
              <w:t>正常运行</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按月按实际产生费用对档案馆大楼所产生的水电费及时进行缴纳，保证大楼的正常运行。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成本指标</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 w:eastAsia="zh-CN"/>
              </w:rPr>
            </w:pPr>
            <w:r>
              <w:rPr>
                <w:rFonts w:hint="eastAsia" w:asciiTheme="minorEastAsia" w:hAnsiTheme="minorEastAsia" w:eastAsiaTheme="minorEastAsia" w:cstheme="minorEastAsia"/>
                <w:color w:val="000000"/>
                <w:sz w:val="24"/>
                <w:szCs w:val="24"/>
                <w:lang w:val="en" w:eastAsia="zh-CN"/>
              </w:rPr>
              <w:t>（</w:t>
            </w:r>
            <w:r>
              <w:rPr>
                <w:rFonts w:hint="eastAsia" w:asciiTheme="minorEastAsia" w:hAnsiTheme="minorEastAsia" w:eastAsiaTheme="minorEastAsia" w:cstheme="minorEastAsia"/>
                <w:color w:val="000000"/>
                <w:sz w:val="24"/>
                <w:szCs w:val="24"/>
                <w:lang w:val="en-US" w:eastAsia="zh-CN"/>
              </w:rPr>
              <w:t>20分</w:t>
            </w:r>
            <w:r>
              <w:rPr>
                <w:rFonts w:hint="eastAsia" w:asciiTheme="minorEastAsia" w:hAnsiTheme="minorEastAsia" w:eastAsiaTheme="minorEastAsia" w:cstheme="minorEastAsia"/>
                <w:color w:val="000000"/>
                <w:sz w:val="24"/>
                <w:szCs w:val="24"/>
                <w:lang w:val="en" w:eastAsia="zh-C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经济成</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缴纳水电费用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6"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社会成</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能正常使用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生态环境</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保障办公环境正常使用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保持生态环境良好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产出指标</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档案馆大楼水电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保证正常使用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水电正常运行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全年大小会议均能正常召开</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效益指标</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经济效</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能保持正常使用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生态效</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大楼与会议室运行良好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社会效</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大楼与会议室运行良好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满意度</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指标</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馆内办公及会议室正常运营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正常运行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大楼及会议室使用者满意度95%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default" w:eastAsia="仿宋_GB2312"/>
          <w:sz w:val="22"/>
          <w:szCs w:val="24"/>
        </w:rPr>
        <w:sectPr>
          <w:footerReference r:id="rId5" w:type="default"/>
          <w:footerReference r:id="rId6"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       填报日期：         联系电话：         单位负责人签字</w:t>
      </w:r>
      <w:bookmarkStart w:id="0" w:name="_GoBack"/>
      <w:bookmarkEnd w:id="0"/>
    </w:p>
    <w:p/>
    <w:sectPr>
      <w:footerReference r:id="rId7"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v67+xyAEAAHoDAAAOAAAAAAAA&#10;AAEAIAAAADQBAABkcnMvZTJvRG9jLnhtbFBLBQYAAAAABgAGAFkBAABu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fwQ9JywEAAHoDAAAOAAAA&#10;AAAAAAEAIAAAADQBAABkcnMvZTJvRG9jLnhtbFBLBQYAAAAABgAGAFkBAABx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M2WTLJAQAAegMAAA4AAABkcnMv&#10;ZTJvRG9jLnhtbK1TS44TMRDdI3EHy3viTiR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ozZZMs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Zr/wIywEAAHoDAAAOAAAA&#10;AAAAAAEAIAAAADQBAABkcnMvZTJvRG9jLnhtbFBLBQYAAAAABgAGAFkBAABx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lWKpzyAEAAHoDAAAOAAAAAAAA&#10;AAEAIAAAADQBAABkcnMvZTJvRG9jLnhtbFBLBQYAAAAABgAGAFkBAABu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453723F"/>
    <w:multiLevelType w:val="singleLevel"/>
    <w:tmpl w:val="6453723F"/>
    <w:lvl w:ilvl="0" w:tentative="0">
      <w:start w:val="3"/>
      <w:numFmt w:val="chineseCounting"/>
      <w:suff w:val="nothing"/>
      <w:lvlText w:val="%1、"/>
      <w:lvlJc w:val="left"/>
    </w:lvl>
  </w:abstractNum>
  <w:abstractNum w:abstractNumId="2">
    <w:nsid w:val="6D2F93BE"/>
    <w:multiLevelType w:val="singleLevel"/>
    <w:tmpl w:val="6D2F93BE"/>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MDA4Yzc0Yzc1ZGY3NTE1ZWEwYmY0MjViNzI2YjIifQ=="/>
  </w:docVars>
  <w:rsids>
    <w:rsidRoot w:val="00172A27"/>
    <w:rsid w:val="04C364DA"/>
    <w:rsid w:val="08D1297B"/>
    <w:rsid w:val="0CCE5073"/>
    <w:rsid w:val="0D0E36BA"/>
    <w:rsid w:val="0FD30C6D"/>
    <w:rsid w:val="101F3C57"/>
    <w:rsid w:val="105E064F"/>
    <w:rsid w:val="128C69C2"/>
    <w:rsid w:val="12CB2F33"/>
    <w:rsid w:val="13D172EB"/>
    <w:rsid w:val="154B3473"/>
    <w:rsid w:val="15B02F86"/>
    <w:rsid w:val="1B6557D7"/>
    <w:rsid w:val="1BCE59A7"/>
    <w:rsid w:val="1D5E5630"/>
    <w:rsid w:val="1F9C1D8C"/>
    <w:rsid w:val="1FDA4E27"/>
    <w:rsid w:val="2032246C"/>
    <w:rsid w:val="20BA3D5C"/>
    <w:rsid w:val="20FE29CD"/>
    <w:rsid w:val="213827F6"/>
    <w:rsid w:val="24756501"/>
    <w:rsid w:val="2897699C"/>
    <w:rsid w:val="2AF82401"/>
    <w:rsid w:val="31EF3498"/>
    <w:rsid w:val="32A76306"/>
    <w:rsid w:val="33457B5A"/>
    <w:rsid w:val="33EA0D37"/>
    <w:rsid w:val="34E8401F"/>
    <w:rsid w:val="3DFB432B"/>
    <w:rsid w:val="40B502E7"/>
    <w:rsid w:val="41A60F90"/>
    <w:rsid w:val="437042B4"/>
    <w:rsid w:val="43D25C86"/>
    <w:rsid w:val="47FF7E2A"/>
    <w:rsid w:val="48AA0905"/>
    <w:rsid w:val="4A7E5437"/>
    <w:rsid w:val="4B490F32"/>
    <w:rsid w:val="4B564457"/>
    <w:rsid w:val="4C575977"/>
    <w:rsid w:val="4DF30F3A"/>
    <w:rsid w:val="4E8B7C40"/>
    <w:rsid w:val="4F1637A4"/>
    <w:rsid w:val="4F3C0450"/>
    <w:rsid w:val="500F1BD2"/>
    <w:rsid w:val="51C40746"/>
    <w:rsid w:val="53A061AD"/>
    <w:rsid w:val="543E6CC0"/>
    <w:rsid w:val="55412274"/>
    <w:rsid w:val="55AD2A0A"/>
    <w:rsid w:val="55C03679"/>
    <w:rsid w:val="57C446E9"/>
    <w:rsid w:val="58820FB8"/>
    <w:rsid w:val="5ABA52A9"/>
    <w:rsid w:val="5C8E01AF"/>
    <w:rsid w:val="62BE6D8B"/>
    <w:rsid w:val="63573E7C"/>
    <w:rsid w:val="64630207"/>
    <w:rsid w:val="64E742EF"/>
    <w:rsid w:val="684B0AD7"/>
    <w:rsid w:val="69EE10B4"/>
    <w:rsid w:val="6BD8383E"/>
    <w:rsid w:val="6F0D61A7"/>
    <w:rsid w:val="719A7E24"/>
    <w:rsid w:val="7267748E"/>
    <w:rsid w:val="75073918"/>
    <w:rsid w:val="75D30D1A"/>
    <w:rsid w:val="771A18F7"/>
    <w:rsid w:val="79365E65"/>
    <w:rsid w:val="7C9729F1"/>
    <w:rsid w:val="7D516D2C"/>
    <w:rsid w:val="7E991F23"/>
    <w:rsid w:val="7EB5519D"/>
    <w:rsid w:val="7FEF4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customStyle="1"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0</TotalTime>
  <ScaleCrop>false</ScaleCrop>
  <LinksUpToDate>false</LinksUpToDate>
  <CharactersWithSpaces>4427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2025-09-15T17:22:46Z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ies>
</file>