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default" w:ascii="仿宋" w:hAnsi="仿宋" w:eastAsia="仿宋" w:cs="仿宋"/>
          <w:sz w:val="32"/>
          <w:szCs w:val="32"/>
        </w:rPr>
      </w:pPr>
    </w:p>
    <w:p>
      <w:pPr>
        <w:widowControl/>
        <w:spacing w:line="540" w:lineRule="exact"/>
        <w:jc w:val="left"/>
        <w:rPr>
          <w:rFonts w:hint="default" w:ascii="黑体" w:hAnsi="黑体" w:eastAsia="黑体" w:cs="黑体"/>
          <w:sz w:val="32"/>
          <w:szCs w:val="32"/>
        </w:rPr>
      </w:pPr>
    </w:p>
    <w:p>
      <w:pPr>
        <w:jc w:val="center"/>
        <w:outlineLvl w:val="1"/>
        <w:rPr>
          <w:rFonts w:hint="default" w:ascii="方正小标宋简体" w:eastAsia="方正小标宋简体"/>
          <w:sz w:val="44"/>
          <w:szCs w:val="44"/>
        </w:rPr>
      </w:pPr>
      <w:r>
        <w:rPr>
          <w:rFonts w:ascii="方正小标宋简体" w:eastAsia="方正小标宋简体"/>
          <w:sz w:val="44"/>
          <w:szCs w:val="44"/>
        </w:rPr>
        <w:t>2024年度双牌县政协部门（单位）整体支出</w:t>
      </w:r>
    </w:p>
    <w:p>
      <w:pPr>
        <w:jc w:val="center"/>
        <w:outlineLvl w:val="1"/>
        <w:rPr>
          <w:rFonts w:hint="default" w:ascii="方正小标宋简体" w:eastAsia="方正小标宋简体"/>
          <w:sz w:val="44"/>
          <w:szCs w:val="44"/>
        </w:rPr>
      </w:pPr>
      <w:r>
        <w:rPr>
          <w:rFonts w:ascii="方正小标宋简体" w:eastAsia="方正小标宋简体"/>
          <w:sz w:val="44"/>
          <w:szCs w:val="44"/>
        </w:rPr>
        <w:t>绩效自评报告</w:t>
      </w:r>
    </w:p>
    <w:p>
      <w:pPr>
        <w:jc w:val="center"/>
        <w:rPr>
          <w:rFonts w:hint="default" w:eastAsia="黑体"/>
          <w:sz w:val="32"/>
        </w:rPr>
      </w:pPr>
    </w:p>
    <w:p>
      <w:pPr>
        <w:jc w:val="center"/>
        <w:rPr>
          <w:rFonts w:hint="default" w:eastAsia="黑体"/>
          <w:sz w:val="32"/>
        </w:rPr>
      </w:pPr>
    </w:p>
    <w:p>
      <w:pPr>
        <w:jc w:val="center"/>
        <w:rPr>
          <w:rFonts w:hint="default" w:eastAsia="黑体"/>
          <w:sz w:val="32"/>
        </w:rPr>
      </w:pPr>
    </w:p>
    <w:p>
      <w:pPr>
        <w:rPr>
          <w:rFonts w:hint="default" w:eastAsia="黑体"/>
          <w:sz w:val="32"/>
        </w:rPr>
      </w:pPr>
    </w:p>
    <w:p>
      <w:pPr>
        <w:jc w:val="center"/>
        <w:rPr>
          <w:rFonts w:hint="default" w:eastAsia="黑体"/>
          <w:sz w:val="32"/>
        </w:rPr>
      </w:pPr>
    </w:p>
    <w:p>
      <w:pPr>
        <w:jc w:val="center"/>
        <w:rPr>
          <w:rFonts w:hint="default" w:eastAsia="黑体"/>
          <w:sz w:val="32"/>
        </w:rPr>
      </w:pPr>
    </w:p>
    <w:p>
      <w:pPr>
        <w:jc w:val="center"/>
        <w:rPr>
          <w:rFonts w:hint="default" w:eastAsia="黑体"/>
          <w:sz w:val="32"/>
        </w:rPr>
      </w:pPr>
    </w:p>
    <w:p>
      <w:pPr>
        <w:spacing w:line="600" w:lineRule="exact"/>
        <w:rPr>
          <w:rFonts w:hint="default" w:eastAsia="仿宋_GB2312"/>
          <w:sz w:val="30"/>
          <w:szCs w:val="30"/>
          <w:u w:val="single"/>
        </w:rPr>
      </w:pPr>
      <w:r>
        <w:rPr>
          <w:rFonts w:eastAsia="仿宋_GB2312"/>
          <w:sz w:val="30"/>
          <w:szCs w:val="30"/>
        </w:rPr>
        <w:t>单位名称（盖章）：</w:t>
      </w:r>
      <w:r>
        <w:rPr>
          <w:rFonts w:eastAsia="仿宋_GB2312"/>
          <w:sz w:val="30"/>
          <w:szCs w:val="30"/>
          <w:u w:val="single"/>
        </w:rPr>
        <w:t xml:space="preserve">  中国人民政治协商会议湖南省双牌县委员会  </w:t>
      </w:r>
    </w:p>
    <w:p>
      <w:pPr>
        <w:spacing w:line="600" w:lineRule="exact"/>
        <w:ind w:firstLine="3200" w:firstLineChars="1000"/>
        <w:rPr>
          <w:rFonts w:hint="default" w:eastAsia="楷体_GB2312"/>
          <w:sz w:val="32"/>
        </w:rPr>
      </w:pPr>
    </w:p>
    <w:p>
      <w:pPr>
        <w:spacing w:line="600" w:lineRule="exact"/>
        <w:ind w:firstLine="3200" w:firstLineChars="1000"/>
        <w:rPr>
          <w:rFonts w:hint="default" w:eastAsia="楷体_GB2312"/>
          <w:sz w:val="32"/>
        </w:rPr>
      </w:pPr>
      <w:r>
        <w:rPr>
          <w:rFonts w:eastAsia="楷体_GB2312"/>
          <w:sz w:val="32"/>
        </w:rPr>
        <w:t>2025年 6 月 30 日</w:t>
      </w:r>
    </w:p>
    <w:p>
      <w:pPr>
        <w:jc w:val="center"/>
        <w:rPr>
          <w:rFonts w:hint="default" w:eastAsia="黑体"/>
          <w:sz w:val="32"/>
        </w:rPr>
      </w:pPr>
    </w:p>
    <w:p>
      <w:pPr>
        <w:jc w:val="center"/>
        <w:outlineLvl w:val="0"/>
        <w:rPr>
          <w:rFonts w:hint="default" w:eastAsia="仿宋_GB2312"/>
          <w:sz w:val="32"/>
        </w:rPr>
      </w:pPr>
      <w:r>
        <w:rPr>
          <w:rFonts w:eastAsia="仿宋_GB2312"/>
          <w:sz w:val="32"/>
        </w:rPr>
        <w:t xml:space="preserve">   （此页为封面）</w:t>
      </w:r>
    </w:p>
    <w:p>
      <w:pPr>
        <w:numPr>
          <w:ilvl w:val="0"/>
          <w:numId w:val="1"/>
        </w:numPr>
        <w:spacing w:line="570" w:lineRule="exact"/>
        <w:outlineLvl w:val="0"/>
        <w:rPr>
          <w:rFonts w:hint="default" w:eastAsia="黑体"/>
          <w:sz w:val="32"/>
        </w:rPr>
      </w:pPr>
      <w:r>
        <w:rPr>
          <w:rFonts w:hint="default" w:eastAsia="仿宋_GB2312"/>
          <w:sz w:val="32"/>
        </w:rPr>
        <w:br w:type="page"/>
      </w:r>
      <w:r>
        <w:rPr>
          <w:rFonts w:hint="default" w:eastAsia="仿宋_GB2312"/>
          <w:sz w:val="32"/>
        </w:rPr>
        <w:t>部门</w:t>
      </w:r>
      <w:r>
        <w:rPr>
          <w:rFonts w:eastAsia="黑体"/>
          <w:sz w:val="32"/>
        </w:rPr>
        <w:t>单位基本情况</w:t>
      </w:r>
    </w:p>
    <w:p>
      <w:pPr>
        <w:numPr>
          <w:ilvl w:val="0"/>
          <w:numId w:val="2"/>
        </w:numPr>
        <w:shd w:val="clear" w:color="auto" w:fill="FFFFFF"/>
        <w:spacing w:line="570" w:lineRule="exact"/>
        <w:ind w:firstLine="642" w:firstLineChars="200"/>
        <w:outlineLvl w:val="1"/>
        <w:rPr>
          <w:rFonts w:hint="default" w:ascii="楷体" w:hAnsi="楷体" w:eastAsia="楷体"/>
          <w:b/>
          <w:bCs/>
          <w:sz w:val="32"/>
        </w:rPr>
      </w:pPr>
      <w:r>
        <w:rPr>
          <w:rFonts w:hint="default" w:ascii="楷体" w:hAnsi="楷体" w:eastAsia="楷体"/>
          <w:b/>
          <w:bCs/>
          <w:sz w:val="32"/>
        </w:rPr>
        <w:t>单位</w:t>
      </w:r>
      <w:r>
        <w:rPr>
          <w:rFonts w:ascii="楷体" w:hAnsi="楷体" w:eastAsia="楷体"/>
          <w:b/>
          <w:bCs/>
          <w:sz w:val="32"/>
        </w:rPr>
        <w:t>职能职责、机构编制、人员构成</w:t>
      </w:r>
    </w:p>
    <w:p>
      <w:pPr>
        <w:spacing w:line="570" w:lineRule="exact"/>
        <w:ind w:firstLine="642" w:firstLineChars="200"/>
        <w:outlineLvl w:val="1"/>
        <w:rPr>
          <w:rFonts w:hint="default" w:ascii="仿宋_GB2312" w:eastAsia="仿宋_GB2312"/>
          <w:b/>
          <w:bCs/>
          <w:sz w:val="32"/>
        </w:rPr>
      </w:pPr>
      <w:r>
        <w:rPr>
          <w:rFonts w:ascii="仿宋_GB2312" w:eastAsia="仿宋_GB2312"/>
          <w:b/>
          <w:bCs/>
          <w:sz w:val="32"/>
        </w:rPr>
        <w:t>1.单位机构编制、人员构成情况</w:t>
      </w:r>
    </w:p>
    <w:p>
      <w:pPr>
        <w:widowControl/>
        <w:spacing w:line="560" w:lineRule="exact"/>
        <w:ind w:firstLine="640" w:firstLineChars="200"/>
        <w:jc w:val="left"/>
        <w:rPr>
          <w:rFonts w:hint="default" w:ascii="仿宋_GB2312" w:eastAsia="仿宋_GB2312"/>
          <w:sz w:val="32"/>
        </w:rPr>
      </w:pPr>
      <w:r>
        <w:rPr>
          <w:rFonts w:ascii="仿宋_GB2312" w:eastAsia="仿宋_GB2312"/>
          <w:sz w:val="32"/>
        </w:rPr>
        <w:t xml:space="preserve">县政协机关核定行政编制11个、机关工勤编制1个、事业编制5个，共17个编制，现内设4委1室1中心，分别是：办公室、文教卫体和文史委、提案和委员学习联络委、经济科技和外事委（与社会法制和民族宗教委合署办公）、农业农村和人口资源环境委。所属副科级事业单位1个,为县政协云中心。2024年末我会实有在岗人数22人，其中公务员19人、工勤人员1人，事业人员2人，退休人员29人。 </w:t>
      </w:r>
    </w:p>
    <w:p>
      <w:pPr>
        <w:spacing w:line="570" w:lineRule="exact"/>
        <w:ind w:firstLine="642" w:firstLineChars="200"/>
        <w:outlineLvl w:val="1"/>
        <w:rPr>
          <w:rFonts w:hint="default" w:ascii="仿宋_GB2312" w:eastAsia="仿宋_GB2312"/>
          <w:b/>
          <w:bCs/>
          <w:sz w:val="32"/>
        </w:rPr>
      </w:pPr>
      <w:r>
        <w:rPr>
          <w:rFonts w:ascii="仿宋_GB2312" w:eastAsia="仿宋_GB2312"/>
          <w:b/>
          <w:bCs/>
          <w:sz w:val="32"/>
        </w:rPr>
        <w:t>2.职责职能：</w:t>
      </w:r>
    </w:p>
    <w:p>
      <w:pPr>
        <w:widowControl/>
        <w:spacing w:line="560" w:lineRule="exact"/>
        <w:ind w:firstLine="640" w:firstLineChars="200"/>
        <w:jc w:val="left"/>
        <w:rPr>
          <w:rFonts w:hint="default" w:ascii="仿宋_GB2312" w:eastAsia="仿宋_GB2312"/>
          <w:sz w:val="32"/>
        </w:rPr>
      </w:pPr>
      <w:r>
        <w:rPr>
          <w:rFonts w:ascii="仿宋_GB2312" w:eastAsia="仿宋_GB2312"/>
          <w:sz w:val="32"/>
        </w:rPr>
        <w:t>1.按照政协《章程》要求，组织在本辖区的政协委员开展学习、视察、调研、评议等活动，履行政治协商、参政议政、民主监督三大职能，注重凝聚共识，建言献策双向发力；</w:t>
      </w:r>
    </w:p>
    <w:p>
      <w:pPr>
        <w:widowControl/>
        <w:spacing w:line="560" w:lineRule="exact"/>
        <w:ind w:firstLine="640" w:firstLineChars="200"/>
        <w:jc w:val="left"/>
        <w:rPr>
          <w:rFonts w:hint="default" w:ascii="仿宋_GB2312" w:eastAsia="仿宋_GB2312"/>
          <w:sz w:val="32"/>
        </w:rPr>
      </w:pPr>
      <w:r>
        <w:rPr>
          <w:rFonts w:ascii="仿宋_GB2312" w:eastAsia="仿宋_GB2312"/>
          <w:sz w:val="32"/>
        </w:rPr>
        <w:t>2.通过组织召开政协全体委员会议、常务委员会议、主席会议、常委会专题座谈会、协商座谈会等形式对本辖区大政方针以及政治、经济、文化和社会事业等重要事项进行协商议政；</w:t>
      </w:r>
    </w:p>
    <w:p>
      <w:pPr>
        <w:widowControl/>
        <w:spacing w:line="560" w:lineRule="exact"/>
        <w:ind w:firstLine="640" w:firstLineChars="200"/>
        <w:jc w:val="left"/>
        <w:rPr>
          <w:rFonts w:hint="default" w:ascii="仿宋_GB2312" w:eastAsia="仿宋_GB2312"/>
          <w:sz w:val="32"/>
        </w:rPr>
      </w:pPr>
      <w:r>
        <w:rPr>
          <w:rFonts w:ascii="仿宋_GB2312" w:eastAsia="仿宋_GB2312"/>
          <w:sz w:val="32"/>
        </w:rPr>
        <w:t>3.通过调研报告、委员提案、建议案、委员大会发言、视察报告、社情民意等形式向县委、县政府反映情况、建言献策、提出意见建议；</w:t>
      </w:r>
    </w:p>
    <w:p>
      <w:pPr>
        <w:widowControl/>
        <w:spacing w:line="560" w:lineRule="exact"/>
        <w:ind w:firstLine="640" w:firstLineChars="200"/>
        <w:jc w:val="left"/>
        <w:rPr>
          <w:rFonts w:hint="default" w:ascii="仿宋_GB2312" w:eastAsia="仿宋_GB2312"/>
          <w:sz w:val="32"/>
        </w:rPr>
      </w:pPr>
      <w:r>
        <w:rPr>
          <w:rFonts w:ascii="仿宋_GB2312" w:eastAsia="仿宋_GB2312"/>
          <w:sz w:val="32"/>
        </w:rPr>
        <w:t>4.通过听取政府及政府部门工作情况通报、法院、检察院工作情况通报等形式开展民主监督、推进工作；</w:t>
      </w:r>
    </w:p>
    <w:p>
      <w:pPr>
        <w:widowControl/>
        <w:spacing w:line="560" w:lineRule="exact"/>
        <w:ind w:firstLine="640" w:firstLineChars="200"/>
        <w:jc w:val="left"/>
        <w:rPr>
          <w:rFonts w:hint="default" w:ascii="仿宋_GB2312" w:eastAsia="仿宋_GB2312"/>
          <w:sz w:val="32"/>
        </w:rPr>
      </w:pPr>
      <w:r>
        <w:rPr>
          <w:rFonts w:ascii="仿宋_GB2312" w:eastAsia="仿宋_GB2312"/>
          <w:sz w:val="32"/>
        </w:rPr>
        <w:t>5.凝聚共识、汇聚智慧、汇聚力量、服务中心、服务大局；</w:t>
      </w:r>
    </w:p>
    <w:p>
      <w:pPr>
        <w:widowControl/>
        <w:spacing w:line="560" w:lineRule="exact"/>
        <w:ind w:firstLine="640" w:firstLineChars="200"/>
        <w:jc w:val="left"/>
        <w:rPr>
          <w:rFonts w:hint="default"/>
        </w:rPr>
      </w:pPr>
      <w:r>
        <w:rPr>
          <w:rFonts w:ascii="仿宋_GB2312" w:eastAsia="仿宋_GB2312"/>
          <w:sz w:val="32"/>
        </w:rPr>
        <w:t>6.完成党委政府安排的各项工作任务。</w:t>
      </w:r>
    </w:p>
    <w:p>
      <w:pPr>
        <w:spacing w:line="570" w:lineRule="exact"/>
        <w:ind w:firstLine="642" w:firstLineChars="200"/>
        <w:outlineLvl w:val="1"/>
        <w:rPr>
          <w:rFonts w:hint="default" w:eastAsia="仿宋_GB2312"/>
          <w:b/>
          <w:bCs/>
          <w:color w:val="000000"/>
          <w:sz w:val="32"/>
        </w:rPr>
      </w:pPr>
      <w:r>
        <w:rPr>
          <w:rFonts w:ascii="仿宋_GB2312" w:eastAsia="仿宋_GB2312"/>
          <w:b/>
          <w:bCs/>
          <w:sz w:val="32"/>
        </w:rPr>
        <w:t>（二）部门（单位）整体支出规模</w:t>
      </w:r>
      <w:r>
        <w:rPr>
          <w:rFonts w:ascii="仿宋_GB2312" w:hAnsi="仿宋_GB2312" w:eastAsia="仿宋_GB2312" w:cs="仿宋_GB2312"/>
          <w:b/>
          <w:bCs/>
          <w:sz w:val="32"/>
          <w:szCs w:val="32"/>
        </w:rPr>
        <w:t>，</w:t>
      </w:r>
      <w:r>
        <w:rPr>
          <w:rFonts w:eastAsia="仿宋_GB2312"/>
          <w:b/>
          <w:bCs/>
          <w:color w:val="000000"/>
          <w:sz w:val="32"/>
        </w:rPr>
        <w:t>包括但不限于部门整体支出情况、部门预算收支决算情况及“三公经费”支出使用和管理情况。</w:t>
      </w:r>
    </w:p>
    <w:p>
      <w:pPr>
        <w:widowControl/>
        <w:spacing w:line="560" w:lineRule="exact"/>
        <w:ind w:firstLine="640" w:firstLineChars="200"/>
        <w:jc w:val="left"/>
        <w:rPr>
          <w:rFonts w:hint="default" w:ascii="仿宋_GB2312" w:eastAsia="仿宋_GB2312"/>
          <w:sz w:val="32"/>
        </w:rPr>
      </w:pPr>
      <w:r>
        <w:rPr>
          <w:rFonts w:hint="default" w:ascii="仿宋_GB2312" w:eastAsia="仿宋_GB2312"/>
          <w:sz w:val="32"/>
        </w:rPr>
        <w:t>2024</w:t>
      </w:r>
      <w:r>
        <w:rPr>
          <w:rFonts w:ascii="仿宋_GB2312" w:eastAsia="仿宋_GB2312"/>
          <w:sz w:val="32"/>
        </w:rPr>
        <w:t>年我单位支出预算为</w:t>
      </w:r>
      <w:r>
        <w:rPr>
          <w:rFonts w:hint="default" w:ascii="仿宋_GB2312" w:eastAsia="仿宋_GB2312"/>
          <w:sz w:val="32"/>
        </w:rPr>
        <w:t>583.11</w:t>
      </w:r>
      <w:r>
        <w:rPr>
          <w:rFonts w:ascii="仿宋_GB2312" w:eastAsia="仿宋_GB2312"/>
          <w:sz w:val="32"/>
        </w:rPr>
        <w:t>万元，实际支出为</w:t>
      </w:r>
      <w:r>
        <w:rPr>
          <w:rFonts w:hint="default" w:ascii="仿宋_GB2312" w:eastAsia="仿宋_GB2312"/>
          <w:sz w:val="32"/>
        </w:rPr>
        <w:t>498.41</w:t>
      </w:r>
      <w:r>
        <w:rPr>
          <w:rFonts w:ascii="仿宋_GB2312" w:eastAsia="仿宋_GB2312"/>
          <w:sz w:val="32"/>
        </w:rPr>
        <w:t>万元，与支出预算相比减少</w:t>
      </w:r>
      <w:r>
        <w:rPr>
          <w:rFonts w:hint="default" w:ascii="仿宋_GB2312" w:eastAsia="仿宋_GB2312"/>
          <w:sz w:val="32"/>
        </w:rPr>
        <w:t>84.7</w:t>
      </w:r>
      <w:r>
        <w:rPr>
          <w:rFonts w:ascii="仿宋_GB2312" w:eastAsia="仿宋_GB2312"/>
          <w:sz w:val="32"/>
        </w:rPr>
        <w:t>万元。</w:t>
      </w:r>
    </w:p>
    <w:p>
      <w:pPr>
        <w:widowControl/>
        <w:spacing w:line="560" w:lineRule="exact"/>
        <w:ind w:firstLine="640" w:firstLineChars="200"/>
        <w:jc w:val="left"/>
        <w:rPr>
          <w:rFonts w:hint="default" w:ascii="仿宋_GB2312" w:eastAsia="仿宋_GB2312"/>
          <w:sz w:val="32"/>
        </w:rPr>
      </w:pPr>
      <w:r>
        <w:rPr>
          <w:rFonts w:hint="default" w:ascii="仿宋_GB2312" w:eastAsia="仿宋_GB2312"/>
          <w:sz w:val="32"/>
        </w:rPr>
        <w:t>2024</w:t>
      </w:r>
      <w:r>
        <w:rPr>
          <w:rFonts w:ascii="仿宋_GB2312" w:eastAsia="仿宋_GB2312"/>
          <w:sz w:val="32"/>
        </w:rPr>
        <w:t>年度“三公”经费财政拨款支出</w:t>
      </w:r>
      <w:r>
        <w:rPr>
          <w:rFonts w:hint="default" w:ascii="仿宋_GB2312" w:eastAsia="仿宋_GB2312"/>
          <w:sz w:val="32"/>
        </w:rPr>
        <w:t>2.96</w:t>
      </w:r>
      <w:r>
        <w:rPr>
          <w:rFonts w:ascii="仿宋_GB2312" w:eastAsia="仿宋_GB2312"/>
          <w:sz w:val="32"/>
        </w:rPr>
        <w:t>万元，其中：因公出国（境）支出</w:t>
      </w:r>
      <w:r>
        <w:rPr>
          <w:rFonts w:hint="default" w:ascii="仿宋_GB2312" w:eastAsia="仿宋_GB2312"/>
          <w:sz w:val="32"/>
        </w:rPr>
        <w:t>0.00</w:t>
      </w:r>
      <w:r>
        <w:rPr>
          <w:rFonts w:ascii="仿宋_GB2312" w:eastAsia="仿宋_GB2312"/>
          <w:sz w:val="32"/>
        </w:rPr>
        <w:t>万元，公务用车购置及运行维护费支出</w:t>
      </w:r>
      <w:r>
        <w:rPr>
          <w:rFonts w:hint="default" w:ascii="仿宋_GB2312" w:eastAsia="仿宋_GB2312"/>
          <w:sz w:val="32"/>
        </w:rPr>
        <w:t>0.00</w:t>
      </w:r>
      <w:r>
        <w:rPr>
          <w:rFonts w:ascii="仿宋_GB2312" w:eastAsia="仿宋_GB2312"/>
          <w:sz w:val="32"/>
        </w:rPr>
        <w:t>万元，公务接待费支出</w:t>
      </w:r>
      <w:r>
        <w:rPr>
          <w:rFonts w:hint="default" w:ascii="仿宋_GB2312" w:eastAsia="仿宋_GB2312"/>
          <w:sz w:val="32"/>
        </w:rPr>
        <w:t>2.96</w:t>
      </w:r>
      <w:r>
        <w:rPr>
          <w:rFonts w:ascii="仿宋_GB2312" w:eastAsia="仿宋_GB2312"/>
          <w:sz w:val="32"/>
        </w:rPr>
        <w:t>万元。</w:t>
      </w:r>
    </w:p>
    <w:p>
      <w:pPr>
        <w:pStyle w:val="10"/>
        <w:spacing w:line="570" w:lineRule="exact"/>
        <w:ind w:firstLine="640"/>
        <w:outlineLvl w:val="0"/>
        <w:rPr>
          <w:rFonts w:ascii="Times New Roman" w:hAnsi="Times New Roman" w:eastAsia="黑体"/>
          <w:sz w:val="32"/>
        </w:rPr>
      </w:pPr>
      <w:r>
        <w:rPr>
          <w:rFonts w:hint="eastAsia" w:ascii="Times New Roman" w:hAnsi="Times New Roman" w:eastAsia="黑体"/>
          <w:sz w:val="32"/>
        </w:rPr>
        <w:t>二、一般公共预算支出情况</w:t>
      </w:r>
    </w:p>
    <w:p>
      <w:pPr>
        <w:pStyle w:val="10"/>
        <w:spacing w:line="600" w:lineRule="exact"/>
        <w:ind w:firstLine="643"/>
        <w:rPr>
          <w:rFonts w:ascii="楷体" w:hAnsi="楷体" w:eastAsia="楷体"/>
          <w:b/>
          <w:sz w:val="32"/>
        </w:rPr>
      </w:pPr>
      <w:r>
        <w:rPr>
          <w:rFonts w:ascii="楷体" w:hAnsi="楷体" w:eastAsia="楷体"/>
          <w:b/>
          <w:sz w:val="32"/>
        </w:rPr>
        <w:t>（一）</w:t>
      </w:r>
      <w:r>
        <w:rPr>
          <w:rFonts w:hint="eastAsia" w:ascii="楷体" w:hAnsi="楷体" w:eastAsia="楷体"/>
          <w:b/>
          <w:sz w:val="32"/>
        </w:rPr>
        <w:t>基本支出情况</w:t>
      </w:r>
    </w:p>
    <w:p>
      <w:pPr>
        <w:widowControl/>
        <w:spacing w:line="560" w:lineRule="exact"/>
        <w:ind w:firstLine="640" w:firstLineChars="200"/>
        <w:jc w:val="left"/>
        <w:rPr>
          <w:rFonts w:hint="default" w:ascii="仿宋_GB2312" w:eastAsia="仿宋_GB2312"/>
          <w:sz w:val="32"/>
        </w:rPr>
      </w:pPr>
      <w:r>
        <w:rPr>
          <w:rFonts w:ascii="仿宋_GB2312" w:eastAsia="仿宋_GB2312"/>
          <w:sz w:val="32"/>
        </w:rPr>
        <w:t>2024年度基本支出为</w:t>
      </w:r>
      <w:r>
        <w:rPr>
          <w:rFonts w:hint="default" w:ascii="仿宋_GB2312" w:eastAsia="仿宋_GB2312"/>
          <w:sz w:val="32"/>
        </w:rPr>
        <w:t>401.76</w:t>
      </w:r>
      <w:r>
        <w:rPr>
          <w:rFonts w:ascii="仿宋_GB2312" w:eastAsia="仿宋_GB2312"/>
          <w:sz w:val="32"/>
        </w:rPr>
        <w:t>万元。其中：人员经费支出359.75万元比上年372.38万元减少12.63万元，公用经费支出42.01万元比上年52.34万元减少10.33万元。</w:t>
      </w:r>
    </w:p>
    <w:p>
      <w:pPr>
        <w:pStyle w:val="10"/>
        <w:spacing w:line="600" w:lineRule="exact"/>
        <w:ind w:firstLine="643"/>
        <w:rPr>
          <w:rFonts w:ascii="楷体" w:hAnsi="楷体" w:eastAsia="楷体"/>
          <w:b/>
          <w:sz w:val="32"/>
        </w:rPr>
      </w:pPr>
      <w:r>
        <w:rPr>
          <w:rFonts w:hint="eastAsia" w:ascii="楷体" w:hAnsi="楷体" w:eastAsia="楷体"/>
          <w:b/>
          <w:sz w:val="32"/>
        </w:rPr>
        <w:t>（二）项目支出情况</w:t>
      </w:r>
    </w:p>
    <w:p>
      <w:pPr>
        <w:widowControl/>
        <w:spacing w:line="560" w:lineRule="exact"/>
        <w:ind w:firstLine="640" w:firstLineChars="200"/>
        <w:jc w:val="left"/>
        <w:rPr>
          <w:rFonts w:hint="default" w:ascii="仿宋_GB2312" w:eastAsia="仿宋_GB2312"/>
          <w:sz w:val="32"/>
        </w:rPr>
      </w:pPr>
      <w:r>
        <w:rPr>
          <w:rFonts w:ascii="仿宋_GB2312" w:eastAsia="仿宋_GB2312"/>
          <w:sz w:val="32"/>
        </w:rPr>
        <w:t>2024年度项目支出为</w:t>
      </w:r>
      <w:r>
        <w:rPr>
          <w:rFonts w:hint="default" w:ascii="仿宋_GB2312" w:eastAsia="仿宋_GB2312"/>
          <w:sz w:val="32"/>
        </w:rPr>
        <w:t>96.65</w:t>
      </w:r>
      <w:r>
        <w:rPr>
          <w:rFonts w:ascii="仿宋_GB2312" w:eastAsia="仿宋_GB2312"/>
          <w:sz w:val="32"/>
        </w:rPr>
        <w:t>万元，其中：（</w:t>
      </w:r>
      <w:r>
        <w:rPr>
          <w:rFonts w:hint="default" w:ascii="仿宋_GB2312" w:eastAsia="仿宋_GB2312"/>
          <w:sz w:val="32"/>
        </w:rPr>
        <w:t>1</w:t>
      </w:r>
      <w:r>
        <w:rPr>
          <w:rFonts w:ascii="仿宋_GB2312" w:eastAsia="仿宋_GB2312"/>
          <w:sz w:val="32"/>
        </w:rPr>
        <w:t>）协商议政支出47.28万元</w:t>
      </w:r>
      <w:r>
        <w:rPr>
          <w:rFonts w:hint="default" w:ascii="仿宋_GB2312" w:eastAsia="仿宋_GB2312"/>
          <w:sz w:val="32"/>
        </w:rPr>
        <w:t>；</w:t>
      </w:r>
      <w:r>
        <w:rPr>
          <w:rFonts w:ascii="仿宋_GB2312" w:eastAsia="仿宋_GB2312"/>
          <w:sz w:val="32"/>
        </w:rPr>
        <w:t>（</w:t>
      </w:r>
      <w:r>
        <w:rPr>
          <w:rFonts w:hint="default" w:ascii="仿宋_GB2312" w:eastAsia="仿宋_GB2312"/>
          <w:sz w:val="32"/>
        </w:rPr>
        <w:t>2</w:t>
      </w:r>
      <w:r>
        <w:rPr>
          <w:rFonts w:ascii="仿宋_GB2312" w:eastAsia="仿宋_GB2312"/>
          <w:sz w:val="32"/>
        </w:rPr>
        <w:t>）政协会议支出30.25万元；（</w:t>
      </w:r>
      <w:r>
        <w:rPr>
          <w:rFonts w:hint="default" w:ascii="仿宋_GB2312" w:eastAsia="仿宋_GB2312"/>
          <w:sz w:val="32"/>
        </w:rPr>
        <w:t>3</w:t>
      </w:r>
      <w:r>
        <w:rPr>
          <w:rFonts w:ascii="仿宋_GB2312" w:eastAsia="仿宋_GB2312"/>
          <w:sz w:val="32"/>
        </w:rPr>
        <w:t>）委员学习培训支出19.12万元。</w:t>
      </w:r>
    </w:p>
    <w:p>
      <w:pPr>
        <w:pStyle w:val="10"/>
        <w:spacing w:line="600" w:lineRule="exact"/>
        <w:ind w:firstLine="640"/>
        <w:rPr>
          <w:rFonts w:ascii="Times New Roman" w:hAnsi="Times New Roman" w:eastAsia="黑体"/>
          <w:sz w:val="32"/>
        </w:rPr>
      </w:pPr>
      <w:r>
        <w:rPr>
          <w:rFonts w:hint="eastAsia" w:ascii="Times New Roman" w:hAnsi="Times New Roman" w:eastAsia="黑体"/>
          <w:sz w:val="32"/>
        </w:rPr>
        <w:t>三、政府性基金预算支出情况。</w:t>
      </w:r>
    </w:p>
    <w:p>
      <w:pPr>
        <w:pStyle w:val="10"/>
        <w:spacing w:line="600" w:lineRule="exact"/>
        <w:ind w:firstLine="640"/>
        <w:rPr>
          <w:rFonts w:ascii="Times New Roman" w:hAnsi="Times New Roman" w:eastAsia="仿宋_GB2312"/>
          <w:color w:val="000000"/>
          <w:kern w:val="2"/>
          <w:sz w:val="32"/>
        </w:rPr>
      </w:pPr>
      <w:r>
        <w:rPr>
          <w:rFonts w:hint="eastAsia" w:ascii="Times New Roman" w:hAnsi="Times New Roman" w:eastAsia="仿宋_GB2312"/>
          <w:color w:val="000000"/>
          <w:kern w:val="2"/>
          <w:sz w:val="32"/>
        </w:rPr>
        <w:t>本单位没有政府性预算收支。</w:t>
      </w:r>
    </w:p>
    <w:p>
      <w:pPr>
        <w:pStyle w:val="10"/>
        <w:spacing w:line="600" w:lineRule="exact"/>
        <w:ind w:firstLine="640"/>
        <w:rPr>
          <w:rFonts w:ascii="Times New Roman" w:hAnsi="Times New Roman" w:eastAsia="黑体"/>
          <w:sz w:val="32"/>
        </w:rPr>
      </w:pPr>
      <w:r>
        <w:rPr>
          <w:rFonts w:hint="eastAsia" w:ascii="Times New Roman" w:hAnsi="Times New Roman" w:eastAsia="黑体"/>
          <w:sz w:val="32"/>
        </w:rPr>
        <w:t>四、国有资本经营预算支出情况。</w:t>
      </w:r>
    </w:p>
    <w:p>
      <w:pPr>
        <w:pStyle w:val="10"/>
        <w:spacing w:line="600" w:lineRule="exact"/>
        <w:ind w:firstLine="640"/>
        <w:rPr>
          <w:rFonts w:ascii="Times New Roman" w:hAnsi="Times New Roman" w:eastAsia="仿宋_GB2312"/>
          <w:color w:val="000000"/>
          <w:kern w:val="2"/>
          <w:sz w:val="32"/>
        </w:rPr>
      </w:pPr>
      <w:r>
        <w:rPr>
          <w:rFonts w:hint="eastAsia" w:ascii="Times New Roman" w:hAnsi="Times New Roman" w:eastAsia="仿宋_GB2312"/>
          <w:color w:val="000000"/>
          <w:kern w:val="2"/>
          <w:sz w:val="32"/>
        </w:rPr>
        <w:t>本单位没有国有资本经营预算支出。</w:t>
      </w:r>
    </w:p>
    <w:p>
      <w:pPr>
        <w:pStyle w:val="10"/>
        <w:spacing w:line="600" w:lineRule="exact"/>
        <w:ind w:firstLine="640"/>
        <w:rPr>
          <w:rFonts w:ascii="Times New Roman" w:hAnsi="Times New Roman" w:eastAsia="黑体"/>
          <w:sz w:val="32"/>
        </w:rPr>
      </w:pPr>
      <w:r>
        <w:rPr>
          <w:rFonts w:hint="eastAsia" w:ascii="Times New Roman" w:hAnsi="Times New Roman" w:eastAsia="黑体"/>
          <w:sz w:val="32"/>
        </w:rPr>
        <w:t>五、社会保险基金预算支出情况。</w:t>
      </w:r>
    </w:p>
    <w:p>
      <w:pPr>
        <w:pStyle w:val="10"/>
        <w:spacing w:line="600" w:lineRule="exact"/>
        <w:ind w:firstLine="640"/>
        <w:rPr>
          <w:rFonts w:ascii="Times New Roman" w:hAnsi="Times New Roman" w:eastAsia="黑体"/>
          <w:sz w:val="32"/>
        </w:rPr>
      </w:pPr>
      <w:r>
        <w:rPr>
          <w:rFonts w:hint="eastAsia" w:ascii="Times New Roman" w:hAnsi="Times New Roman" w:eastAsia="仿宋_GB2312"/>
          <w:color w:val="000000"/>
          <w:kern w:val="2"/>
          <w:sz w:val="32"/>
        </w:rPr>
        <w:t>本单位没有社会保险预算支出。</w:t>
      </w:r>
    </w:p>
    <w:p>
      <w:pPr>
        <w:spacing w:line="570" w:lineRule="exact"/>
        <w:ind w:firstLine="645"/>
        <w:jc w:val="left"/>
        <w:outlineLvl w:val="0"/>
        <w:rPr>
          <w:rFonts w:hint="default" w:eastAsia="黑体"/>
          <w:sz w:val="32"/>
        </w:rPr>
      </w:pPr>
      <w:r>
        <w:rPr>
          <w:rFonts w:eastAsia="黑体"/>
          <w:sz w:val="32"/>
        </w:rPr>
        <w:t>六、部门整体支出绩效情况</w:t>
      </w:r>
    </w:p>
    <w:p>
      <w:pPr>
        <w:adjustRightInd w:val="0"/>
        <w:snapToGrid w:val="0"/>
        <w:spacing w:line="560" w:lineRule="exact"/>
        <w:ind w:firstLine="640" w:firstLineChars="200"/>
        <w:rPr>
          <w:rFonts w:ascii="仿宋_GB2312" w:hAnsi="仿宋_GB2312" w:eastAsia="仿宋_GB2312"/>
          <w:color w:val="000000"/>
          <w:kern w:val="0"/>
          <w:sz w:val="32"/>
          <w:szCs w:val="32"/>
        </w:rPr>
      </w:pPr>
      <w:r>
        <w:rPr>
          <w:rFonts w:ascii="仿宋_GB2312" w:hAnsi="仿宋_GB2312" w:eastAsia="仿宋_GB2312" w:cs="仿宋_GB2312"/>
          <w:color w:val="000000"/>
          <w:kern w:val="0"/>
          <w:sz w:val="32"/>
          <w:szCs w:val="32"/>
        </w:rPr>
        <w:t>县政协紧扣县委、县政府的中心工作，围绕群众普遍关心关注的热点难点问题和经济社会发展的一些前瞻性课题，深入开展调查研究，为县委、县政府科学民主决策提出建设性意见和建议。先后完成各类调研报告、协商报告、监督报告7个。</w:t>
      </w:r>
    </w:p>
    <w:p>
      <w:pPr>
        <w:spacing w:line="560" w:lineRule="exact"/>
        <w:rPr>
          <w:rFonts w:ascii="仿宋_GB2312" w:hAnsi="仿宋_GB2312" w:eastAsia="仿宋_GB2312"/>
          <w:color w:val="000000"/>
          <w:sz w:val="32"/>
          <w:szCs w:val="32"/>
        </w:rPr>
      </w:pPr>
      <w:r>
        <w:rPr>
          <w:rFonts w:ascii="仿宋_GB2312" w:hAnsi="仿宋_GB2312" w:eastAsia="仿宋_GB2312" w:cs="仿宋_GB2312"/>
          <w:color w:val="000000"/>
          <w:sz w:val="32"/>
          <w:szCs w:val="32"/>
        </w:rPr>
        <w:t>重点围绕康养旅游发展，养老服务体系建设，珍稀物种保护、开发和利用，新能源项目建设，非物质文化遗产的保护、传承和发展，露天生态游泳场建设等8个课题开展了协商议政活动</w:t>
      </w:r>
      <w:r>
        <w:rPr>
          <w:rFonts w:ascii="仿宋_GB2312" w:hAnsi="仿宋_GB2312" w:eastAsia="仿宋_GB2312" w:cs="仿宋_GB2312"/>
          <w:color w:val="000000"/>
          <w:kern w:val="0"/>
          <w:sz w:val="32"/>
          <w:szCs w:val="32"/>
        </w:rPr>
        <w:t>。</w:t>
      </w:r>
    </w:p>
    <w:p>
      <w:pPr>
        <w:spacing w:line="560" w:lineRule="exact"/>
        <w:jc w:val="left"/>
        <w:rPr>
          <w:rFonts w:ascii="仿宋_GB2312" w:hAnsi="仿宋_GB2312" w:eastAsia="仿宋_GB2312"/>
          <w:color w:val="000000"/>
          <w:sz w:val="32"/>
          <w:szCs w:val="32"/>
        </w:rPr>
      </w:pPr>
      <w:r>
        <w:rPr>
          <w:rFonts w:ascii="仿宋_GB2312" w:hAnsi="仿宋_GB2312" w:eastAsia="仿宋_GB2312" w:cs="仿宋_GB2312"/>
          <w:color w:val="000000"/>
          <w:sz w:val="32"/>
          <w:szCs w:val="32"/>
        </w:rPr>
        <w:t>精心打造了6个大会发言，相关建议得到充分采纳，在具体工作中得到了较好落实。进一步强化“政协云”履职平台的推广应用，鼓励委员在“政协云”提交智慧提案和社情民意信息，鼓励利用网络提微建议、开展微协商和微监督，先后就城市管理、生态文明建设、优化经济发展环境等经济社会发展的各个方面，提微建议60多条，办复率100%。</w:t>
      </w:r>
    </w:p>
    <w:p>
      <w:pPr>
        <w:pStyle w:val="10"/>
        <w:spacing w:line="570" w:lineRule="exact"/>
        <w:ind w:firstLine="640"/>
        <w:jc w:val="left"/>
        <w:outlineLvl w:val="0"/>
        <w:rPr>
          <w:rFonts w:hint="eastAsia" w:ascii="仿宋_GB2312" w:hAnsi="Times New Roman" w:eastAsia="仿宋_GB2312"/>
          <w:kern w:val="2"/>
          <w:sz w:val="32"/>
        </w:rPr>
      </w:pPr>
      <w:r>
        <w:rPr>
          <w:rFonts w:hint="eastAsia" w:ascii="仿宋_GB2312" w:hAnsi="Times New Roman" w:eastAsia="仿宋_GB2312"/>
          <w:kern w:val="2"/>
          <w:sz w:val="32"/>
        </w:rPr>
        <w:t>双牌</w:t>
      </w:r>
      <w:r>
        <w:rPr>
          <w:rFonts w:ascii="仿宋_GB2312" w:hAnsi="Times New Roman" w:eastAsia="仿宋_GB2312"/>
          <w:kern w:val="2"/>
          <w:sz w:val="32"/>
        </w:rPr>
        <w:t>县政协部门整体支出资金使用和管理中，实际支出与计划规定的用途一致，资金使用都能做到公开、公平，按程序上报和审批。统筹安排各项支出，专款专用，无截留、挪用专项资金情况，有效提高资金使用效率，保障单位正常运转。</w:t>
      </w:r>
    </w:p>
    <w:p>
      <w:pPr>
        <w:pStyle w:val="10"/>
        <w:spacing w:line="570" w:lineRule="exact"/>
        <w:ind w:firstLine="640"/>
        <w:jc w:val="left"/>
        <w:outlineLvl w:val="0"/>
        <w:rPr>
          <w:rFonts w:ascii="Times New Roman" w:hAnsi="Times New Roman" w:eastAsia="黑体"/>
          <w:sz w:val="32"/>
        </w:rPr>
      </w:pPr>
      <w:r>
        <w:rPr>
          <w:rFonts w:hint="eastAsia" w:ascii="Times New Roman" w:hAnsi="Times New Roman" w:eastAsia="黑体"/>
          <w:sz w:val="32"/>
        </w:rPr>
        <w:t>七、存在的问题及原因分析</w:t>
      </w:r>
    </w:p>
    <w:p>
      <w:pPr>
        <w:widowControl/>
        <w:spacing w:line="560" w:lineRule="exact"/>
        <w:ind w:firstLine="640" w:firstLineChars="200"/>
        <w:jc w:val="left"/>
        <w:rPr>
          <w:rFonts w:hint="default" w:ascii="仿宋_GB2312" w:eastAsia="仿宋_GB2312"/>
          <w:sz w:val="32"/>
        </w:rPr>
      </w:pPr>
      <w:r>
        <w:rPr>
          <w:rFonts w:ascii="仿宋_GB2312" w:eastAsia="仿宋_GB2312"/>
          <w:sz w:val="32"/>
        </w:rPr>
        <w:t>1.预算编制细化不够，年初预算与实际发生情况有一定的出入。</w:t>
      </w:r>
    </w:p>
    <w:p>
      <w:pPr>
        <w:widowControl/>
        <w:spacing w:line="560" w:lineRule="exact"/>
        <w:ind w:firstLine="640" w:firstLineChars="200"/>
        <w:jc w:val="left"/>
        <w:rPr>
          <w:rFonts w:hint="default" w:ascii="仿宋_GB2312" w:eastAsia="仿宋_GB2312"/>
          <w:sz w:val="32"/>
        </w:rPr>
      </w:pPr>
      <w:r>
        <w:rPr>
          <w:rFonts w:ascii="仿宋_GB2312" w:eastAsia="仿宋_GB2312"/>
          <w:sz w:val="32"/>
        </w:rPr>
        <w:t>2.单位绩效管理基础工作薄弱，专业人员能力与管理需求不匹配。绩效目标管理意识欠缺，绩效管理评价系统还不完善，现有评价多侧重合规性，对政策影响、长期效益等定性分析不足。</w:t>
      </w:r>
    </w:p>
    <w:p>
      <w:pPr>
        <w:numPr>
          <w:ilvl w:val="0"/>
          <w:numId w:val="3"/>
        </w:numPr>
        <w:spacing w:line="570" w:lineRule="exact"/>
        <w:ind w:firstLine="640" w:firstLineChars="200"/>
        <w:jc w:val="left"/>
        <w:outlineLvl w:val="0"/>
        <w:rPr>
          <w:rFonts w:hint="default" w:eastAsia="黑体"/>
          <w:sz w:val="32"/>
        </w:rPr>
      </w:pPr>
      <w:r>
        <w:rPr>
          <w:rFonts w:eastAsia="黑体"/>
          <w:sz w:val="32"/>
        </w:rPr>
        <w:t>下一步改进措施</w:t>
      </w:r>
    </w:p>
    <w:p>
      <w:pPr>
        <w:widowControl/>
        <w:spacing w:line="560" w:lineRule="exact"/>
        <w:ind w:firstLine="640" w:firstLineChars="200"/>
        <w:jc w:val="left"/>
        <w:rPr>
          <w:rFonts w:hint="default" w:ascii="仿宋_GB2312" w:eastAsia="仿宋_GB2312"/>
          <w:sz w:val="32"/>
        </w:rPr>
      </w:pPr>
      <w:r>
        <w:rPr>
          <w:rFonts w:ascii="仿宋_GB2312" w:eastAsia="仿宋_GB2312"/>
          <w:sz w:val="32"/>
        </w:rPr>
        <w:t>1.细化预算编制工作，认真做好预算的编制。进一步加强本级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pPr>
        <w:widowControl/>
        <w:spacing w:line="560" w:lineRule="exact"/>
        <w:ind w:firstLine="640" w:firstLineChars="200"/>
        <w:jc w:val="left"/>
        <w:rPr>
          <w:rFonts w:hint="default" w:ascii="仿宋_GB2312" w:eastAsia="仿宋_GB2312"/>
          <w:sz w:val="32"/>
        </w:rPr>
      </w:pPr>
      <w:r>
        <w:rPr>
          <w:rFonts w:ascii="仿宋_GB2312" w:eastAsia="仿宋_GB2312"/>
          <w:sz w:val="32"/>
        </w:rPr>
        <w:t>2.不断改进管理措施，加强业务人员能力培训，增强和落实单位整体工作和项目绩效管理责任，完善工作机制，有效提高资金管理水平和使用效益。</w:t>
      </w:r>
    </w:p>
    <w:p>
      <w:pPr>
        <w:spacing w:line="570" w:lineRule="exact"/>
        <w:ind w:firstLine="645"/>
        <w:jc w:val="left"/>
        <w:outlineLvl w:val="0"/>
        <w:rPr>
          <w:rFonts w:hint="default" w:eastAsia="黑体"/>
          <w:sz w:val="32"/>
        </w:rPr>
      </w:pPr>
      <w:r>
        <w:rPr>
          <w:rFonts w:eastAsia="黑体"/>
          <w:sz w:val="32"/>
        </w:rPr>
        <w:t>九、部门整体支出绩效自评结果拟应用和公开情况及其他需要说明的情况</w:t>
      </w:r>
    </w:p>
    <w:p>
      <w:pPr>
        <w:widowControl/>
        <w:spacing w:line="560" w:lineRule="exact"/>
        <w:ind w:firstLine="640" w:firstLineChars="200"/>
        <w:jc w:val="left"/>
        <w:rPr>
          <w:rFonts w:ascii="仿宋_GB2312" w:eastAsia="仿宋_GB2312"/>
          <w:sz w:val="32"/>
        </w:rPr>
      </w:pPr>
      <w:r>
        <w:rPr>
          <w:rFonts w:ascii="仿宋_GB2312" w:eastAsia="仿宋_GB2312"/>
          <w:sz w:val="32"/>
        </w:rPr>
        <w:t>2024年县政协绩效自我评价达到了预期目标，取得了良好成效，拟在政府网上予以公开。</w:t>
      </w:r>
    </w:p>
    <w:p>
      <w:pPr>
        <w:pStyle w:val="2"/>
        <w:rPr>
          <w:rFonts w:ascii="仿宋_GB2312" w:eastAsia="仿宋_GB2312"/>
          <w:sz w:val="32"/>
        </w:rPr>
      </w:pPr>
    </w:p>
    <w:p>
      <w:pPr>
        <w:pStyle w:val="2"/>
        <w:rPr>
          <w:rFonts w:ascii="仿宋_GB2312" w:eastAsia="仿宋_GB2312"/>
          <w:sz w:val="32"/>
        </w:rPr>
      </w:pPr>
    </w:p>
    <w:tbl>
      <w:tblPr>
        <w:tblStyle w:val="7"/>
        <w:tblW w:w="84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96"/>
        <w:gridCol w:w="759"/>
        <w:gridCol w:w="759"/>
        <w:gridCol w:w="1215"/>
        <w:gridCol w:w="674"/>
        <w:gridCol w:w="578"/>
        <w:gridCol w:w="14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56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2024年双牌县政协部门整体支出绩效评价基础数据表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财政供养人员情况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编制数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2024年实际在职人数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经费控制情况(万元)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2023年决算数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2024年预算数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2024年决算数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三公经费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1、公务用车购置和维护经费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其中：公车购置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公车运行维护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2、出国经费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3、公务接待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109.58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1、业务工作经费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2.运行维护经费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3.本级专项资金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109.58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议政协商（履职）经费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63.58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政协房屋维修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政协会议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28.64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《双牌文史、双牌文化》编攥发行费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委员学习培训费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其他政协事务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老主席文体联谊活动经费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政协委员工作室建设经费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公用经费：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其中：办公经费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水费、电费、差旅费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会议费、培训费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政府采购金额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65.62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43.79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部门基本支出预算调整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楼堂馆所控制情况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（2024年完工项目）</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批复规模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实际规模</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规模控制率</w:t>
            </w: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预算投资</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（万元）</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实际投资</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投资概算控制率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厉行节约保障措施</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r>
    </w:tbl>
    <w:p>
      <w:pPr>
        <w:pStyle w:val="2"/>
        <w:rPr>
          <w:rFonts w:hint="default" w:ascii="仿宋_GB2312" w:eastAsia="仿宋_GB2312"/>
          <w:sz w:val="32"/>
        </w:rPr>
      </w:pPr>
    </w:p>
    <w:tbl>
      <w:tblPr>
        <w:tblStyle w:val="7"/>
        <w:tblpPr w:leftFromText="180" w:rightFromText="180" w:vertAnchor="text" w:horzAnchor="page" w:tblpX="164" w:tblpY="777"/>
        <w:tblOverlap w:val="never"/>
        <w:tblW w:w="102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7"/>
        <w:gridCol w:w="397"/>
        <w:gridCol w:w="2744"/>
        <w:gridCol w:w="916"/>
        <w:gridCol w:w="1399"/>
        <w:gridCol w:w="1009"/>
        <w:gridCol w:w="531"/>
        <w:gridCol w:w="397"/>
        <w:gridCol w:w="397"/>
        <w:gridCol w:w="578"/>
        <w:gridCol w:w="903"/>
        <w:gridCol w:w="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028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35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预算部门名称</w:t>
            </w:r>
          </w:p>
        </w:tc>
        <w:tc>
          <w:tcPr>
            <w:tcW w:w="6747"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双牌县泷泊镇中心小学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5" w:hRule="atLeast"/>
        </w:trPr>
        <w:tc>
          <w:tcPr>
            <w:tcW w:w="353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Microsoft YaHei UI" w:hAnsi="Microsoft YaHei UI" w:eastAsia="Microsoft YaHei UI" w:cs="Microsoft YaHei UI"/>
                <w:i w:val="0"/>
                <w:color w:val="000000"/>
                <w:sz w:val="18"/>
                <w:szCs w:val="18"/>
                <w:u w:val="none"/>
              </w:rPr>
            </w:pPr>
            <w:r>
              <w:rPr>
                <w:rFonts w:hint="default" w:ascii="Microsoft YaHei UI" w:hAnsi="Microsoft YaHei UI" w:eastAsia="Microsoft YaHei UI" w:cs="Microsoft YaHei UI"/>
                <w:i w:val="0"/>
                <w:color w:val="000000"/>
                <w:kern w:val="0"/>
                <w:sz w:val="18"/>
                <w:szCs w:val="18"/>
                <w:u w:val="none"/>
                <w:lang w:val="en-US" w:eastAsia="zh-CN" w:bidi="ar"/>
              </w:rPr>
              <w:t>年度预算申请</w:t>
            </w:r>
            <w:r>
              <w:rPr>
                <w:rFonts w:hint="default" w:ascii="Microsoft YaHei UI" w:hAnsi="Microsoft YaHei UI" w:eastAsia="Microsoft YaHei UI" w:cs="Microsoft YaHei UI"/>
                <w:i w:val="0"/>
                <w:color w:val="000000"/>
                <w:kern w:val="0"/>
                <w:sz w:val="18"/>
                <w:szCs w:val="18"/>
                <w:u w:val="none"/>
                <w:lang w:val="en-US" w:eastAsia="zh-CN" w:bidi="ar"/>
              </w:rPr>
              <w:br w:type="textWrapping"/>
            </w:r>
            <w:r>
              <w:rPr>
                <w:rFonts w:hint="default" w:ascii="Microsoft YaHei UI" w:hAnsi="Microsoft YaHei UI" w:eastAsia="Microsoft YaHei UI" w:cs="Microsoft YaHei UI"/>
                <w:i w:val="0"/>
                <w:color w:val="000000"/>
                <w:kern w:val="0"/>
                <w:sz w:val="18"/>
                <w:szCs w:val="18"/>
                <w:u w:val="none"/>
                <w:lang w:val="en-US" w:eastAsia="zh-CN" w:bidi="ar"/>
              </w:rPr>
              <w:t>(万元)</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年初预算数</w:t>
            </w:r>
            <w:r>
              <w:rPr>
                <w:rFonts w:hint="default" w:ascii="仿宋_GB2312" w:hAnsi="宋体" w:eastAsia="仿宋_GB2312" w:cs="仿宋_GB2312"/>
                <w:b/>
                <w:i w:val="0"/>
                <w:color w:val="000000"/>
                <w:kern w:val="0"/>
                <w:sz w:val="18"/>
                <w:szCs w:val="18"/>
                <w:u w:val="none"/>
                <w:lang w:val="en-US" w:eastAsia="zh-CN" w:bidi="ar"/>
              </w:rPr>
              <w:br w:type="textWrapping"/>
            </w:r>
            <w:r>
              <w:rPr>
                <w:rFonts w:hint="default" w:ascii="仿宋_GB2312" w:hAnsi="宋体" w:eastAsia="仿宋_GB2312" w:cs="仿宋_GB2312"/>
                <w:b/>
                <w:i w:val="0"/>
                <w:color w:val="000000"/>
                <w:kern w:val="0"/>
                <w:sz w:val="18"/>
                <w:szCs w:val="18"/>
                <w:u w:val="none"/>
                <w:lang w:val="en-US" w:eastAsia="zh-CN" w:bidi="ar"/>
              </w:rPr>
              <w:t>(万元)</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全年预算数</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（万元）</w:t>
            </w:r>
          </w:p>
        </w:tc>
        <w:tc>
          <w:tcPr>
            <w:tcW w:w="13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（万元）</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分值</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7" w:hRule="atLeast"/>
        </w:trPr>
        <w:tc>
          <w:tcPr>
            <w:tcW w:w="35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Microsoft YaHei UI" w:hAnsi="Microsoft YaHei UI" w:eastAsia="Microsoft YaHei UI" w:cs="Microsoft YaHei UI"/>
                <w:i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年度资金总额：</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642.46</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308.26</w:t>
            </w:r>
          </w:p>
        </w:tc>
        <w:tc>
          <w:tcPr>
            <w:tcW w:w="1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221.77</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71.94%</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35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Microsoft YaHei UI" w:hAnsi="Microsoft YaHei UI" w:eastAsia="Microsoft YaHei UI" w:cs="Microsoft YaHei UI"/>
                <w:i w:val="0"/>
                <w:color w:val="000000"/>
                <w:sz w:val="18"/>
                <w:szCs w:val="18"/>
                <w:u w:val="none"/>
              </w:rPr>
            </w:pPr>
          </w:p>
        </w:tc>
        <w:tc>
          <w:tcPr>
            <w:tcW w:w="46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按收入性质分：</w:t>
            </w:r>
          </w:p>
        </w:tc>
        <w:tc>
          <w:tcPr>
            <w:tcW w:w="20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按支出性质分：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35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Microsoft YaHei UI" w:hAnsi="Microsoft YaHei UI" w:eastAsia="Microsoft YaHei UI" w:cs="Microsoft YaHei UI"/>
                <w:i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一般公共预算：</w:t>
            </w:r>
          </w:p>
        </w:tc>
        <w:tc>
          <w:tcPr>
            <w:tcW w:w="37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134.79</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其中:基本支出：</w:t>
            </w:r>
          </w:p>
        </w:tc>
        <w:tc>
          <w:tcPr>
            <w:tcW w:w="15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7" w:hRule="atLeast"/>
        </w:trPr>
        <w:tc>
          <w:tcPr>
            <w:tcW w:w="35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Microsoft YaHei UI" w:hAnsi="Microsoft YaHei UI" w:eastAsia="Microsoft YaHei UI" w:cs="Microsoft YaHei UI"/>
                <w:i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政府性基金拨款：</w:t>
            </w:r>
          </w:p>
        </w:tc>
        <w:tc>
          <w:tcPr>
            <w:tcW w:w="37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0.0</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5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3" w:hRule="atLeast"/>
        </w:trPr>
        <w:tc>
          <w:tcPr>
            <w:tcW w:w="35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Microsoft YaHei UI" w:hAnsi="Microsoft YaHei UI" w:eastAsia="Microsoft YaHei UI" w:cs="Microsoft YaHei UI"/>
                <w:i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纳入专户管理的非税收入拨款：</w:t>
            </w:r>
          </w:p>
        </w:tc>
        <w:tc>
          <w:tcPr>
            <w:tcW w:w="37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53.29</w:t>
            </w:r>
          </w:p>
        </w:tc>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项目支出：</w:t>
            </w:r>
          </w:p>
        </w:tc>
        <w:tc>
          <w:tcPr>
            <w:tcW w:w="15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35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Microsoft YaHei UI" w:hAnsi="Microsoft YaHei UI" w:eastAsia="Microsoft YaHei UI" w:cs="Microsoft YaHei UI"/>
                <w:i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其他资金</w:t>
            </w:r>
          </w:p>
        </w:tc>
        <w:tc>
          <w:tcPr>
            <w:tcW w:w="37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120.17</w:t>
            </w:r>
          </w:p>
        </w:tc>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15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353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年度总体目标</w:t>
            </w:r>
          </w:p>
        </w:tc>
        <w:tc>
          <w:tcPr>
            <w:tcW w:w="46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预期目标</w:t>
            </w:r>
          </w:p>
        </w:tc>
        <w:tc>
          <w:tcPr>
            <w:tcW w:w="20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5" w:hRule="atLeast"/>
        </w:trPr>
        <w:tc>
          <w:tcPr>
            <w:tcW w:w="35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i w:val="0"/>
                <w:color w:val="000000"/>
                <w:sz w:val="18"/>
                <w:szCs w:val="18"/>
                <w:u w:val="none"/>
              </w:rPr>
            </w:pPr>
          </w:p>
        </w:tc>
        <w:tc>
          <w:tcPr>
            <w:tcW w:w="46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全面推行素质教育，努力提高小学初中教育教学质量，进一步搞好学校基础设施建设，加强校舍维修工作，不断地改善办学条件，努力建设好和管理好学校</w:t>
            </w:r>
          </w:p>
        </w:tc>
        <w:tc>
          <w:tcPr>
            <w:tcW w:w="20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一年来我单位大力推行素质教育，努力提高教育教学质量，进一步搞好学校基础设施建设，加强校舍维修工作，学校办学条件得到很好改善，学校建设与管理得到了明显改观。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绩效指标</w:t>
            </w:r>
          </w:p>
        </w:tc>
        <w:tc>
          <w:tcPr>
            <w:tcW w:w="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一级指标</w:t>
            </w:r>
          </w:p>
        </w:tc>
        <w:tc>
          <w:tcPr>
            <w:tcW w:w="27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三级指标</w:t>
            </w:r>
          </w:p>
        </w:tc>
        <w:tc>
          <w:tcPr>
            <w:tcW w:w="1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年度指标值</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实际完成值</w:t>
            </w:r>
          </w:p>
        </w:tc>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评扣分标准</w:t>
            </w:r>
          </w:p>
        </w:tc>
        <w:tc>
          <w:tcPr>
            <w:tcW w:w="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分值</w:t>
            </w:r>
          </w:p>
        </w:tc>
        <w:tc>
          <w:tcPr>
            <w:tcW w:w="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lang w:val="en-US" w:eastAsia="zh-CN" w:bidi="ar"/>
              </w:rPr>
              <w:t>得分</w:t>
            </w:r>
          </w:p>
        </w:tc>
        <w:tc>
          <w:tcPr>
            <w:tcW w:w="209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4" w:hRule="atLeast"/>
        </w:trPr>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i w:val="0"/>
                <w:color w:val="000000"/>
                <w:sz w:val="18"/>
                <w:szCs w:val="18"/>
                <w:u w:val="none"/>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i w:val="0"/>
                <w:color w:val="000000"/>
                <w:sz w:val="18"/>
                <w:szCs w:val="18"/>
                <w:u w:val="none"/>
              </w:rPr>
            </w:pPr>
          </w:p>
        </w:tc>
        <w:tc>
          <w:tcPr>
            <w:tcW w:w="2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i w:val="0"/>
                <w:color w:val="000000"/>
                <w:sz w:val="18"/>
                <w:szCs w:val="18"/>
                <w:u w:val="none"/>
              </w:rPr>
            </w:pPr>
          </w:p>
        </w:tc>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i w:val="0"/>
                <w:color w:val="000000"/>
                <w:sz w:val="18"/>
                <w:szCs w:val="18"/>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i w:val="0"/>
                <w:color w:val="000000"/>
                <w:sz w:val="18"/>
                <w:szCs w:val="18"/>
                <w:u w:val="none"/>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i w:val="0"/>
                <w:color w:val="000000"/>
                <w:sz w:val="18"/>
                <w:szCs w:val="18"/>
                <w:u w:val="none"/>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i w:val="0"/>
                <w:color w:val="000000"/>
                <w:sz w:val="18"/>
                <w:szCs w:val="18"/>
                <w:u w:val="none"/>
              </w:rPr>
            </w:pPr>
          </w:p>
        </w:tc>
        <w:tc>
          <w:tcPr>
            <w:tcW w:w="209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1" w:hRule="atLeast"/>
        </w:trPr>
        <w:tc>
          <w:tcPr>
            <w:tcW w:w="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绩效指标</w:t>
            </w:r>
          </w:p>
        </w:tc>
        <w:tc>
          <w:tcPr>
            <w:tcW w:w="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产出指标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lang w:val="en-US" w:eastAsia="zh-CN" w:bidi="ar"/>
              </w:rPr>
              <w:t>服务50个老师686个学生</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0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7" w:hRule="atLeast"/>
        </w:trPr>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color w:val="000000"/>
                <w:sz w:val="18"/>
                <w:szCs w:val="18"/>
                <w:u w:val="none"/>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color w:val="000000"/>
                <w:sz w:val="18"/>
                <w:szCs w:val="18"/>
                <w:u w:val="none"/>
              </w:rPr>
            </w:pPr>
          </w:p>
        </w:tc>
        <w:tc>
          <w:tcPr>
            <w:tcW w:w="2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lang w:val="en-US" w:eastAsia="zh-CN" w:bidi="ar"/>
              </w:rPr>
              <w:t>合理使用公用经费</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9</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0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5" w:hRule="atLeast"/>
        </w:trPr>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color w:val="000000"/>
                <w:sz w:val="18"/>
                <w:szCs w:val="18"/>
                <w:u w:val="none"/>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color w:val="000000"/>
                <w:sz w:val="18"/>
                <w:szCs w:val="18"/>
                <w:u w:val="none"/>
              </w:rPr>
            </w:pPr>
          </w:p>
        </w:tc>
        <w:tc>
          <w:tcPr>
            <w:tcW w:w="2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lang w:val="en-US" w:eastAsia="zh-CN" w:bidi="ar"/>
              </w:rPr>
              <w:t>按时保质完成任务</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9</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0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9" w:hRule="atLeast"/>
        </w:trPr>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color w:val="000000"/>
                <w:sz w:val="18"/>
                <w:szCs w:val="18"/>
                <w:u w:val="none"/>
              </w:rPr>
            </w:pPr>
          </w:p>
        </w:tc>
        <w:tc>
          <w:tcPr>
            <w:tcW w:w="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效益指标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lang w:val="en-US" w:eastAsia="zh-CN" w:bidi="ar"/>
              </w:rPr>
              <w:t>厉行节约合理使用资金</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9</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0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1" w:hRule="atLeast"/>
        </w:trPr>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color w:val="000000"/>
                <w:sz w:val="18"/>
                <w:szCs w:val="18"/>
                <w:u w:val="none"/>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color w:val="000000"/>
                <w:sz w:val="18"/>
                <w:szCs w:val="18"/>
                <w:u w:val="none"/>
              </w:rPr>
            </w:pPr>
          </w:p>
        </w:tc>
        <w:tc>
          <w:tcPr>
            <w:tcW w:w="2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lang w:val="en-US" w:eastAsia="zh-CN" w:bidi="ar"/>
              </w:rPr>
              <w:t>推行素质教育社会满意度高</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9</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0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1" w:hRule="atLeast"/>
        </w:trPr>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color w:val="000000"/>
                <w:sz w:val="18"/>
                <w:szCs w:val="18"/>
                <w:u w:val="none"/>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color w:val="000000"/>
                <w:sz w:val="18"/>
                <w:szCs w:val="18"/>
                <w:u w:val="none"/>
              </w:rPr>
            </w:pPr>
          </w:p>
        </w:tc>
        <w:tc>
          <w:tcPr>
            <w:tcW w:w="2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生态效益指标</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lang w:val="en-US" w:eastAsia="zh-CN" w:bidi="ar"/>
              </w:rPr>
              <w:t>提高全民重视教育的程度</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20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9</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0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5" w:hRule="atLeast"/>
        </w:trPr>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color w:val="000000"/>
                <w:sz w:val="18"/>
                <w:szCs w:val="18"/>
                <w:u w:val="none"/>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color w:val="000000"/>
                <w:sz w:val="18"/>
                <w:szCs w:val="18"/>
                <w:u w:val="none"/>
              </w:rPr>
            </w:pPr>
          </w:p>
        </w:tc>
        <w:tc>
          <w:tcPr>
            <w:tcW w:w="2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lang w:val="en-US" w:eastAsia="zh-CN" w:bidi="ar"/>
              </w:rPr>
              <w:t>激发老师育人热情</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9</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0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1" w:hRule="atLeast"/>
        </w:trPr>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满意度指标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lang w:val="en-US" w:eastAsia="zh-CN" w:bidi="ar"/>
              </w:rPr>
              <w:t>提高社会对学校的认可度</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0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color w:val="000000"/>
                <w:sz w:val="18"/>
                <w:szCs w:val="18"/>
                <w:u w:val="none"/>
              </w:rPr>
            </w:pPr>
          </w:p>
        </w:tc>
        <w:tc>
          <w:tcPr>
            <w:tcW w:w="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成本指标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lang w:val="en-US" w:eastAsia="zh-CN" w:bidi="ar"/>
              </w:rPr>
              <w:t>节约成本</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8</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lang w:val="en-US" w:eastAsia="zh-CN" w:bidi="ar"/>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0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color w:val="000000"/>
                <w:sz w:val="18"/>
                <w:szCs w:val="18"/>
                <w:u w:val="none"/>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color w:val="000000"/>
                <w:sz w:val="18"/>
                <w:szCs w:val="18"/>
                <w:u w:val="none"/>
              </w:rPr>
            </w:pPr>
          </w:p>
        </w:tc>
        <w:tc>
          <w:tcPr>
            <w:tcW w:w="2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社会成本指标</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18"/>
                <w:szCs w:val="18"/>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0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color w:val="000000"/>
                <w:sz w:val="18"/>
                <w:szCs w:val="18"/>
                <w:u w:val="none"/>
              </w:rPr>
            </w:pPr>
          </w:p>
        </w:tc>
        <w:tc>
          <w:tcPr>
            <w:tcW w:w="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仿宋_GB2312" w:hAnsi="宋体" w:eastAsia="仿宋_GB2312" w:cs="仿宋_GB2312"/>
                <w:i w:val="0"/>
                <w:color w:val="000000"/>
                <w:sz w:val="18"/>
                <w:szCs w:val="18"/>
                <w:u w:val="none"/>
              </w:rPr>
            </w:pPr>
          </w:p>
        </w:tc>
        <w:tc>
          <w:tcPr>
            <w:tcW w:w="2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生态环境成本指标</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 w:hAnsi="仿宋" w:eastAsia="仿宋" w:cs="仿宋"/>
                <w:i w:val="0"/>
                <w:color w:val="000000"/>
                <w:sz w:val="18"/>
                <w:szCs w:val="18"/>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18"/>
                <w:szCs w:val="18"/>
                <w:u w:val="none"/>
              </w:rPr>
            </w:pPr>
          </w:p>
        </w:tc>
        <w:tc>
          <w:tcPr>
            <w:tcW w:w="209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35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总分</w:t>
            </w:r>
          </w:p>
        </w:tc>
        <w:tc>
          <w:tcPr>
            <w:tcW w:w="6747"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7.19</w:t>
            </w:r>
          </w:p>
        </w:tc>
      </w:tr>
    </w:tbl>
    <w:p>
      <w:pPr>
        <w:pStyle w:val="2"/>
        <w:ind w:left="0" w:leftChars="0" w:firstLine="0" w:firstLineChars="0"/>
        <w:rPr>
          <w:rFonts w:hint="default" w:ascii="仿宋_GB2312" w:eastAsia="仿宋_GB2312"/>
          <w:sz w:val="32"/>
        </w:rPr>
      </w:pPr>
    </w:p>
    <w:tbl>
      <w:tblPr>
        <w:tblStyle w:val="7"/>
        <w:tblW w:w="86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1"/>
        <w:gridCol w:w="1407"/>
        <w:gridCol w:w="1408"/>
        <w:gridCol w:w="1043"/>
        <w:gridCol w:w="981"/>
        <w:gridCol w:w="780"/>
        <w:gridCol w:w="775"/>
        <w:gridCol w:w="893"/>
        <w:gridCol w:w="7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1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Microsoft YaHei" w:hAnsi="Microsoft YaHei" w:eastAsia="Microsoft YaHei" w:cs="Microsoft YaHei"/>
                <w:b/>
                <w:i w:val="0"/>
                <w:color w:val="000000"/>
                <w:sz w:val="20"/>
                <w:szCs w:val="20"/>
                <w:u w:val="none"/>
              </w:rPr>
            </w:pPr>
            <w:r>
              <w:rPr>
                <w:rFonts w:hint="default" w:ascii="Microsoft YaHei" w:hAnsi="Microsoft YaHei" w:eastAsia="Microsoft YaHei" w:cs="Microsoft YaHei"/>
                <w:b/>
                <w:i w:val="0"/>
                <w:color w:val="000000"/>
                <w:kern w:val="0"/>
                <w:sz w:val="20"/>
                <w:szCs w:val="20"/>
                <w:u w:val="none"/>
                <w:lang w:val="en-US" w:eastAsia="zh-CN" w:bidi="ar"/>
              </w:rPr>
              <w:t>项目支出名称</w:t>
            </w:r>
          </w:p>
        </w:tc>
        <w:tc>
          <w:tcPr>
            <w:tcW w:w="8066" w:type="dxa"/>
            <w:gridSpan w:val="8"/>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协商议政经费-1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5" w:hRule="atLeast"/>
        </w:trPr>
        <w:tc>
          <w:tcPr>
            <w:tcW w:w="61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0"/>
                <w:szCs w:val="20"/>
                <w:u w:val="none"/>
              </w:rPr>
            </w:pPr>
          </w:p>
        </w:tc>
        <w:tc>
          <w:tcPr>
            <w:tcW w:w="8066" w:type="dxa"/>
            <w:gridSpan w:val="8"/>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1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0"/>
                <w:szCs w:val="20"/>
                <w:u w:val="none"/>
              </w:rPr>
            </w:pPr>
            <w:r>
              <w:rPr>
                <w:rFonts w:hint="default" w:ascii="Microsoft YaHei" w:hAnsi="Microsoft YaHei" w:eastAsia="Microsoft YaHei" w:cs="Microsoft YaHei"/>
                <w:b/>
                <w:i w:val="0"/>
                <w:color w:val="000000"/>
                <w:kern w:val="0"/>
                <w:sz w:val="20"/>
                <w:szCs w:val="20"/>
                <w:u w:val="none"/>
                <w:lang w:val="en-US" w:eastAsia="zh-CN" w:bidi="ar"/>
              </w:rPr>
              <w:t>主管部门</w:t>
            </w:r>
          </w:p>
        </w:tc>
        <w:tc>
          <w:tcPr>
            <w:tcW w:w="4869" w:type="dxa"/>
            <w:gridSpan w:val="4"/>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中国人民政协永州市双牌县委员会办公室</w:t>
            </w:r>
          </w:p>
        </w:tc>
        <w:tc>
          <w:tcPr>
            <w:tcW w:w="78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实施单位</w:t>
            </w:r>
          </w:p>
        </w:tc>
        <w:tc>
          <w:tcPr>
            <w:tcW w:w="2416" w:type="dxa"/>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中国人民政治协商会议湖南省双牌县委员会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6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项目资金(万元)</w:t>
            </w:r>
          </w:p>
        </w:tc>
        <w:tc>
          <w:tcPr>
            <w:tcW w:w="2839" w:type="dxa"/>
            <w:gridSpan w:val="2"/>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lang w:val="en-US" w:eastAsia="zh-CN" w:bidi="ar"/>
              </w:rPr>
              <w:t xml:space="preserve">     资金来源</w:t>
            </w:r>
          </w:p>
        </w:tc>
        <w:tc>
          <w:tcPr>
            <w:tcW w:w="1047"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lang w:val="en-US" w:eastAsia="zh-CN" w:bidi="ar"/>
              </w:rPr>
              <w:t>年初预算数</w:t>
            </w:r>
          </w:p>
        </w:tc>
        <w:tc>
          <w:tcPr>
            <w:tcW w:w="983"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lang w:val="en-US" w:eastAsia="zh-CN" w:bidi="ar"/>
              </w:rPr>
              <w:t>全年预算数</w:t>
            </w:r>
          </w:p>
        </w:tc>
        <w:tc>
          <w:tcPr>
            <w:tcW w:w="781"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lang w:val="en-US" w:eastAsia="zh-CN" w:bidi="ar"/>
              </w:rPr>
              <w:t>全年执行数</w:t>
            </w:r>
          </w:p>
        </w:tc>
        <w:tc>
          <w:tcPr>
            <w:tcW w:w="77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lang w:val="en-US" w:eastAsia="zh-CN" w:bidi="ar"/>
              </w:rPr>
              <w:t>分值</w:t>
            </w:r>
          </w:p>
        </w:tc>
        <w:tc>
          <w:tcPr>
            <w:tcW w:w="85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lang w:val="en-US" w:eastAsia="zh-CN" w:bidi="ar"/>
              </w:rPr>
              <w:t>执行率</w:t>
            </w:r>
          </w:p>
        </w:tc>
        <w:tc>
          <w:tcPr>
            <w:tcW w:w="78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6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283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1047" w:type="dxa"/>
            <w:vMerge w:val="continue"/>
            <w:tcBorders>
              <w:top w:val="nil"/>
              <w:left w:val="single" w:color="000000" w:sz="8" w:space="0"/>
              <w:bottom w:val="single" w:color="000000" w:sz="8" w:space="0"/>
              <w:right w:val="nil"/>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983" w:type="dxa"/>
            <w:vMerge w:val="continue"/>
            <w:tcBorders>
              <w:top w:val="nil"/>
              <w:left w:val="single" w:color="000000" w:sz="8" w:space="0"/>
              <w:bottom w:val="single" w:color="000000" w:sz="8" w:space="0"/>
              <w:right w:val="nil"/>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781"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77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78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6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283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1047" w:type="dxa"/>
            <w:vMerge w:val="continue"/>
            <w:tcBorders>
              <w:top w:val="nil"/>
              <w:left w:val="single" w:color="000000" w:sz="8" w:space="0"/>
              <w:bottom w:val="single" w:color="000000" w:sz="8" w:space="0"/>
              <w:right w:val="nil"/>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983" w:type="dxa"/>
            <w:vMerge w:val="continue"/>
            <w:tcBorders>
              <w:top w:val="nil"/>
              <w:left w:val="single" w:color="000000" w:sz="8" w:space="0"/>
              <w:bottom w:val="single" w:color="000000" w:sz="8" w:space="0"/>
              <w:right w:val="nil"/>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781"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77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78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6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283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其中:当年财政拨款</w:t>
            </w:r>
          </w:p>
        </w:tc>
        <w:tc>
          <w:tcPr>
            <w:tcW w:w="104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60.58</w:t>
            </w:r>
          </w:p>
        </w:tc>
        <w:tc>
          <w:tcPr>
            <w:tcW w:w="983"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60.58</w:t>
            </w:r>
          </w:p>
        </w:tc>
        <w:tc>
          <w:tcPr>
            <w:tcW w:w="781"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43.82</w:t>
            </w:r>
          </w:p>
        </w:tc>
        <w:tc>
          <w:tcPr>
            <w:tcW w:w="77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85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6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283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上年结转金额</w:t>
            </w:r>
          </w:p>
        </w:tc>
        <w:tc>
          <w:tcPr>
            <w:tcW w:w="104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0</w:t>
            </w:r>
          </w:p>
        </w:tc>
        <w:tc>
          <w:tcPr>
            <w:tcW w:w="983"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0</w:t>
            </w:r>
          </w:p>
        </w:tc>
        <w:tc>
          <w:tcPr>
            <w:tcW w:w="781"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0</w:t>
            </w:r>
          </w:p>
        </w:tc>
        <w:tc>
          <w:tcPr>
            <w:tcW w:w="77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85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6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283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其它资金</w:t>
            </w:r>
          </w:p>
        </w:tc>
        <w:tc>
          <w:tcPr>
            <w:tcW w:w="104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0</w:t>
            </w:r>
          </w:p>
        </w:tc>
        <w:tc>
          <w:tcPr>
            <w:tcW w:w="983"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0</w:t>
            </w:r>
          </w:p>
        </w:tc>
        <w:tc>
          <w:tcPr>
            <w:tcW w:w="781"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0</w:t>
            </w:r>
          </w:p>
        </w:tc>
        <w:tc>
          <w:tcPr>
            <w:tcW w:w="77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855"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6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283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年度资金总额</w:t>
            </w:r>
          </w:p>
        </w:tc>
        <w:tc>
          <w:tcPr>
            <w:tcW w:w="104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60.58</w:t>
            </w:r>
          </w:p>
        </w:tc>
        <w:tc>
          <w:tcPr>
            <w:tcW w:w="983"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60.58</w:t>
            </w:r>
          </w:p>
        </w:tc>
        <w:tc>
          <w:tcPr>
            <w:tcW w:w="781"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43.82</w:t>
            </w:r>
          </w:p>
        </w:tc>
        <w:tc>
          <w:tcPr>
            <w:tcW w:w="7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10</w:t>
            </w:r>
          </w:p>
        </w:tc>
        <w:tc>
          <w:tcPr>
            <w:tcW w:w="8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72.00%</w:t>
            </w:r>
          </w:p>
        </w:tc>
        <w:tc>
          <w:tcPr>
            <w:tcW w:w="78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0"/>
                <w:szCs w:val="20"/>
                <w:u w:val="none"/>
              </w:rPr>
            </w:pPr>
            <w:r>
              <w:rPr>
                <w:rFonts w:hint="default" w:ascii="Microsoft YaHei" w:hAnsi="Microsoft YaHei" w:eastAsia="Microsoft YaHei" w:cs="Microsoft YaHei"/>
                <w:b/>
                <w:i w:val="0"/>
                <w:color w:val="000000"/>
                <w:kern w:val="0"/>
                <w:sz w:val="20"/>
                <w:szCs w:val="20"/>
                <w:u w:val="none"/>
                <w:lang w:val="en-US" w:eastAsia="zh-CN" w:bidi="ar"/>
              </w:rPr>
              <w:t>年度总体目标</w:t>
            </w:r>
          </w:p>
        </w:tc>
        <w:tc>
          <w:tcPr>
            <w:tcW w:w="4869" w:type="dxa"/>
            <w:gridSpan w:val="4"/>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预期目标</w:t>
            </w:r>
          </w:p>
        </w:tc>
        <w:tc>
          <w:tcPr>
            <w:tcW w:w="3197" w:type="dxa"/>
            <w:gridSpan w:val="4"/>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0"/>
                <w:szCs w:val="20"/>
                <w:u w:val="none"/>
              </w:rPr>
            </w:pPr>
          </w:p>
        </w:tc>
        <w:tc>
          <w:tcPr>
            <w:tcW w:w="4869" w:type="dxa"/>
            <w:gridSpan w:val="4"/>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坚持大团结大联合，全面发展协商民主，做好建言资政和凝聚共识工作，为加快推进双牌高质量发展集聚众智、汇聚众力。</w:t>
            </w:r>
          </w:p>
        </w:tc>
        <w:tc>
          <w:tcPr>
            <w:tcW w:w="3197" w:type="dxa"/>
            <w:gridSpan w:val="4"/>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0"/>
                <w:szCs w:val="20"/>
                <w:u w:val="none"/>
              </w:rPr>
            </w:pPr>
          </w:p>
        </w:tc>
        <w:tc>
          <w:tcPr>
            <w:tcW w:w="4869" w:type="dxa"/>
            <w:gridSpan w:val="4"/>
            <w:vMerge w:val="continue"/>
            <w:tcBorders>
              <w:top w:val="nil"/>
              <w:left w:val="single" w:color="000000" w:sz="8" w:space="0"/>
              <w:bottom w:val="single" w:color="000000" w:sz="8" w:space="0"/>
              <w:right w:val="nil"/>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3197" w:type="dxa"/>
            <w:gridSpan w:val="4"/>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0"/>
                <w:szCs w:val="20"/>
                <w:u w:val="none"/>
              </w:rPr>
            </w:pPr>
          </w:p>
        </w:tc>
        <w:tc>
          <w:tcPr>
            <w:tcW w:w="4869" w:type="dxa"/>
            <w:gridSpan w:val="4"/>
            <w:vMerge w:val="continue"/>
            <w:tcBorders>
              <w:top w:val="nil"/>
              <w:left w:val="single" w:color="000000" w:sz="8" w:space="0"/>
              <w:bottom w:val="single" w:color="000000" w:sz="8" w:space="0"/>
              <w:right w:val="nil"/>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3197" w:type="dxa"/>
            <w:gridSpan w:val="4"/>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1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2"/>
                <w:szCs w:val="22"/>
                <w:u w:val="none"/>
              </w:rPr>
            </w:pPr>
            <w:r>
              <w:rPr>
                <w:rFonts w:hint="default" w:ascii="Microsoft YaHei" w:hAnsi="Microsoft YaHei" w:eastAsia="Microsoft YaHei" w:cs="Microsoft YaHei"/>
                <w:i w:val="0"/>
                <w:color w:val="000000"/>
                <w:kern w:val="0"/>
                <w:sz w:val="22"/>
                <w:szCs w:val="22"/>
                <w:u w:val="none"/>
                <w:lang w:val="en-US" w:eastAsia="zh-CN" w:bidi="ar"/>
              </w:rPr>
              <w:t>绩效指标</w:t>
            </w:r>
          </w:p>
        </w:tc>
        <w:tc>
          <w:tcPr>
            <w:tcW w:w="141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lang w:val="en-US" w:eastAsia="zh-CN" w:bidi="ar"/>
              </w:rPr>
              <w:t>一级指标</w:t>
            </w:r>
          </w:p>
        </w:tc>
        <w:tc>
          <w:tcPr>
            <w:tcW w:w="142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lang w:val="en-US" w:eastAsia="zh-CN" w:bidi="ar"/>
              </w:rPr>
              <w:t>二级指标</w:t>
            </w:r>
          </w:p>
        </w:tc>
        <w:tc>
          <w:tcPr>
            <w:tcW w:w="1047"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lang w:val="en-US" w:eastAsia="zh-CN" w:bidi="ar"/>
              </w:rPr>
              <w:t>三级指标</w:t>
            </w:r>
          </w:p>
        </w:tc>
        <w:tc>
          <w:tcPr>
            <w:tcW w:w="983" w:type="dxa"/>
            <w:vMerge w:val="restart"/>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lang w:val="en-US" w:eastAsia="zh-CN" w:bidi="ar"/>
              </w:rPr>
              <w:t>年度指标值</w:t>
            </w:r>
          </w:p>
        </w:tc>
        <w:tc>
          <w:tcPr>
            <w:tcW w:w="781"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lang w:val="en-US" w:eastAsia="zh-CN" w:bidi="ar"/>
              </w:rPr>
              <w:t>实际完成值</w:t>
            </w:r>
          </w:p>
        </w:tc>
        <w:tc>
          <w:tcPr>
            <w:tcW w:w="77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lang w:val="en-US" w:eastAsia="zh-CN" w:bidi="ar"/>
              </w:rPr>
              <w:t>分值</w:t>
            </w:r>
          </w:p>
        </w:tc>
        <w:tc>
          <w:tcPr>
            <w:tcW w:w="855"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lang w:val="en-US" w:eastAsia="zh-CN" w:bidi="ar"/>
              </w:rPr>
              <w:t>得分</w:t>
            </w:r>
          </w:p>
        </w:tc>
        <w:tc>
          <w:tcPr>
            <w:tcW w:w="78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2"/>
                <w:szCs w:val="22"/>
                <w:u w:val="none"/>
              </w:rPr>
            </w:pPr>
          </w:p>
        </w:tc>
        <w:tc>
          <w:tcPr>
            <w:tcW w:w="141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14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104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983" w:type="dxa"/>
            <w:vMerge w:val="continue"/>
            <w:tcBorders>
              <w:top w:val="nil"/>
              <w:left w:val="nil"/>
              <w:bottom w:val="single" w:color="000000" w:sz="8" w:space="0"/>
              <w:right w:val="nil"/>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781" w:type="dxa"/>
            <w:vMerge w:val="continue"/>
            <w:tcBorders>
              <w:top w:val="nil"/>
              <w:left w:val="single" w:color="000000" w:sz="8" w:space="0"/>
              <w:bottom w:val="single" w:color="000000" w:sz="8" w:space="0"/>
              <w:right w:val="nil"/>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77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85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78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0" w:hRule="atLeast"/>
        </w:trPr>
        <w:tc>
          <w:tcPr>
            <w:tcW w:w="6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2"/>
                <w:szCs w:val="22"/>
                <w:u w:val="none"/>
              </w:rPr>
            </w:pPr>
          </w:p>
        </w:tc>
        <w:tc>
          <w:tcPr>
            <w:tcW w:w="141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14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104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983" w:type="dxa"/>
            <w:vMerge w:val="continue"/>
            <w:tcBorders>
              <w:top w:val="nil"/>
              <w:left w:val="nil"/>
              <w:bottom w:val="single" w:color="000000" w:sz="8" w:space="0"/>
              <w:right w:val="nil"/>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781" w:type="dxa"/>
            <w:vMerge w:val="continue"/>
            <w:tcBorders>
              <w:top w:val="nil"/>
              <w:left w:val="single" w:color="000000" w:sz="8" w:space="0"/>
              <w:bottom w:val="single" w:color="000000" w:sz="8" w:space="0"/>
              <w:right w:val="nil"/>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77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85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78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7" w:hRule="atLeast"/>
        </w:trPr>
        <w:tc>
          <w:tcPr>
            <w:tcW w:w="6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2"/>
                <w:szCs w:val="22"/>
                <w:u w:val="none"/>
              </w:rPr>
            </w:pPr>
          </w:p>
        </w:tc>
        <w:tc>
          <w:tcPr>
            <w:tcW w:w="141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产出指标</w:t>
            </w:r>
          </w:p>
        </w:tc>
        <w:tc>
          <w:tcPr>
            <w:tcW w:w="14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数量指标</w:t>
            </w:r>
          </w:p>
        </w:tc>
        <w:tc>
          <w:tcPr>
            <w:tcW w:w="104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开展“五个专题协商”和一项专题监督，做到精准献策，助推发展</w:t>
            </w:r>
          </w:p>
        </w:tc>
        <w:tc>
          <w:tcPr>
            <w:tcW w:w="983"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6</w:t>
            </w:r>
          </w:p>
        </w:tc>
        <w:tc>
          <w:tcPr>
            <w:tcW w:w="781"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6</w:t>
            </w:r>
          </w:p>
        </w:tc>
        <w:tc>
          <w:tcPr>
            <w:tcW w:w="7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10</w:t>
            </w:r>
          </w:p>
        </w:tc>
        <w:tc>
          <w:tcPr>
            <w:tcW w:w="8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10.00</w:t>
            </w:r>
          </w:p>
        </w:tc>
        <w:tc>
          <w:tcPr>
            <w:tcW w:w="78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2"/>
                <w:szCs w:val="22"/>
                <w:u w:val="none"/>
              </w:rPr>
            </w:pPr>
          </w:p>
        </w:tc>
        <w:tc>
          <w:tcPr>
            <w:tcW w:w="141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14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质量指标</w:t>
            </w:r>
          </w:p>
        </w:tc>
        <w:tc>
          <w:tcPr>
            <w:tcW w:w="104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协商监督完成率</w:t>
            </w:r>
          </w:p>
        </w:tc>
        <w:tc>
          <w:tcPr>
            <w:tcW w:w="983"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100%</w:t>
            </w:r>
          </w:p>
        </w:tc>
        <w:tc>
          <w:tcPr>
            <w:tcW w:w="781"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100%</w:t>
            </w:r>
          </w:p>
        </w:tc>
        <w:tc>
          <w:tcPr>
            <w:tcW w:w="7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10</w:t>
            </w:r>
          </w:p>
        </w:tc>
        <w:tc>
          <w:tcPr>
            <w:tcW w:w="8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10.00</w:t>
            </w:r>
          </w:p>
        </w:tc>
        <w:tc>
          <w:tcPr>
            <w:tcW w:w="78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2"/>
                <w:szCs w:val="22"/>
                <w:u w:val="none"/>
              </w:rPr>
            </w:pPr>
          </w:p>
        </w:tc>
        <w:tc>
          <w:tcPr>
            <w:tcW w:w="141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14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时效指标</w:t>
            </w:r>
          </w:p>
        </w:tc>
        <w:tc>
          <w:tcPr>
            <w:tcW w:w="104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完成及时性</w:t>
            </w:r>
          </w:p>
        </w:tc>
        <w:tc>
          <w:tcPr>
            <w:tcW w:w="983"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2024年</w:t>
            </w:r>
          </w:p>
        </w:tc>
        <w:tc>
          <w:tcPr>
            <w:tcW w:w="781"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2024年</w:t>
            </w:r>
          </w:p>
        </w:tc>
        <w:tc>
          <w:tcPr>
            <w:tcW w:w="7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10</w:t>
            </w:r>
          </w:p>
        </w:tc>
        <w:tc>
          <w:tcPr>
            <w:tcW w:w="8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10.00</w:t>
            </w:r>
          </w:p>
        </w:tc>
        <w:tc>
          <w:tcPr>
            <w:tcW w:w="78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6" w:hRule="atLeast"/>
        </w:trPr>
        <w:tc>
          <w:tcPr>
            <w:tcW w:w="6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2"/>
                <w:szCs w:val="22"/>
                <w:u w:val="none"/>
              </w:rPr>
            </w:pPr>
          </w:p>
        </w:tc>
        <w:tc>
          <w:tcPr>
            <w:tcW w:w="141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效益指标</w:t>
            </w:r>
          </w:p>
        </w:tc>
        <w:tc>
          <w:tcPr>
            <w:tcW w:w="14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经济效益指标</w:t>
            </w:r>
          </w:p>
        </w:tc>
        <w:tc>
          <w:tcPr>
            <w:tcW w:w="104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充分发挥专项资金使用效益</w:t>
            </w:r>
          </w:p>
        </w:tc>
        <w:tc>
          <w:tcPr>
            <w:tcW w:w="983"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效果显著</w:t>
            </w:r>
          </w:p>
        </w:tc>
        <w:tc>
          <w:tcPr>
            <w:tcW w:w="781"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10</w:t>
            </w:r>
          </w:p>
        </w:tc>
        <w:tc>
          <w:tcPr>
            <w:tcW w:w="7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10</w:t>
            </w:r>
          </w:p>
        </w:tc>
        <w:tc>
          <w:tcPr>
            <w:tcW w:w="8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10.00</w:t>
            </w:r>
          </w:p>
        </w:tc>
        <w:tc>
          <w:tcPr>
            <w:tcW w:w="78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2"/>
                <w:szCs w:val="22"/>
                <w:u w:val="none"/>
              </w:rPr>
            </w:pPr>
          </w:p>
        </w:tc>
        <w:tc>
          <w:tcPr>
            <w:tcW w:w="141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14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社会效益指标</w:t>
            </w:r>
          </w:p>
        </w:tc>
        <w:tc>
          <w:tcPr>
            <w:tcW w:w="104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社会效益好</w:t>
            </w:r>
          </w:p>
        </w:tc>
        <w:tc>
          <w:tcPr>
            <w:tcW w:w="983"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效果明显</w:t>
            </w:r>
          </w:p>
        </w:tc>
        <w:tc>
          <w:tcPr>
            <w:tcW w:w="781"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效果明显</w:t>
            </w:r>
          </w:p>
        </w:tc>
        <w:tc>
          <w:tcPr>
            <w:tcW w:w="7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5</w:t>
            </w:r>
          </w:p>
        </w:tc>
        <w:tc>
          <w:tcPr>
            <w:tcW w:w="8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5.00</w:t>
            </w:r>
          </w:p>
        </w:tc>
        <w:tc>
          <w:tcPr>
            <w:tcW w:w="78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2"/>
                <w:szCs w:val="22"/>
                <w:u w:val="none"/>
              </w:rPr>
            </w:pPr>
          </w:p>
        </w:tc>
        <w:tc>
          <w:tcPr>
            <w:tcW w:w="141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14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生态效益指标</w:t>
            </w:r>
          </w:p>
        </w:tc>
        <w:tc>
          <w:tcPr>
            <w:tcW w:w="104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对生态环境无恶劣影响</w:t>
            </w:r>
          </w:p>
        </w:tc>
        <w:tc>
          <w:tcPr>
            <w:tcW w:w="983"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无影响</w:t>
            </w:r>
          </w:p>
        </w:tc>
        <w:tc>
          <w:tcPr>
            <w:tcW w:w="781"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无影响</w:t>
            </w:r>
          </w:p>
        </w:tc>
        <w:tc>
          <w:tcPr>
            <w:tcW w:w="7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5</w:t>
            </w:r>
          </w:p>
        </w:tc>
        <w:tc>
          <w:tcPr>
            <w:tcW w:w="8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5.00</w:t>
            </w:r>
          </w:p>
        </w:tc>
        <w:tc>
          <w:tcPr>
            <w:tcW w:w="78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2"/>
                <w:szCs w:val="22"/>
                <w:u w:val="none"/>
              </w:rPr>
            </w:pPr>
          </w:p>
        </w:tc>
        <w:tc>
          <w:tcPr>
            <w:tcW w:w="141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14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可持续影响指标</w:t>
            </w:r>
          </w:p>
        </w:tc>
        <w:tc>
          <w:tcPr>
            <w:tcW w:w="104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社会反响好</w:t>
            </w:r>
          </w:p>
        </w:tc>
        <w:tc>
          <w:tcPr>
            <w:tcW w:w="983"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反响好</w:t>
            </w:r>
          </w:p>
        </w:tc>
        <w:tc>
          <w:tcPr>
            <w:tcW w:w="781"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反响好</w:t>
            </w:r>
          </w:p>
        </w:tc>
        <w:tc>
          <w:tcPr>
            <w:tcW w:w="7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10</w:t>
            </w:r>
          </w:p>
        </w:tc>
        <w:tc>
          <w:tcPr>
            <w:tcW w:w="8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10.00</w:t>
            </w:r>
          </w:p>
        </w:tc>
        <w:tc>
          <w:tcPr>
            <w:tcW w:w="78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2"/>
                <w:szCs w:val="22"/>
                <w:u w:val="none"/>
              </w:rPr>
            </w:pPr>
          </w:p>
        </w:tc>
        <w:tc>
          <w:tcPr>
            <w:tcW w:w="141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满意度指标</w:t>
            </w:r>
          </w:p>
        </w:tc>
        <w:tc>
          <w:tcPr>
            <w:tcW w:w="14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服务对象满意度指标</w:t>
            </w:r>
          </w:p>
        </w:tc>
        <w:tc>
          <w:tcPr>
            <w:tcW w:w="104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服务对象满意度指标</w:t>
            </w:r>
          </w:p>
        </w:tc>
        <w:tc>
          <w:tcPr>
            <w:tcW w:w="983"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95</w:t>
            </w:r>
          </w:p>
        </w:tc>
        <w:tc>
          <w:tcPr>
            <w:tcW w:w="781"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95</w:t>
            </w:r>
          </w:p>
        </w:tc>
        <w:tc>
          <w:tcPr>
            <w:tcW w:w="7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10</w:t>
            </w:r>
          </w:p>
        </w:tc>
        <w:tc>
          <w:tcPr>
            <w:tcW w:w="8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10.00</w:t>
            </w:r>
          </w:p>
        </w:tc>
        <w:tc>
          <w:tcPr>
            <w:tcW w:w="78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2"/>
                <w:szCs w:val="22"/>
                <w:u w:val="none"/>
              </w:rPr>
            </w:pPr>
          </w:p>
        </w:tc>
        <w:tc>
          <w:tcPr>
            <w:tcW w:w="1419"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成本指标</w:t>
            </w:r>
          </w:p>
        </w:tc>
        <w:tc>
          <w:tcPr>
            <w:tcW w:w="14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经济成本指标</w:t>
            </w:r>
          </w:p>
        </w:tc>
        <w:tc>
          <w:tcPr>
            <w:tcW w:w="104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开展各项职能工作经费</w:t>
            </w:r>
          </w:p>
        </w:tc>
        <w:tc>
          <w:tcPr>
            <w:tcW w:w="983"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≤63.8</w:t>
            </w:r>
          </w:p>
        </w:tc>
        <w:tc>
          <w:tcPr>
            <w:tcW w:w="781"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43.82</w:t>
            </w:r>
          </w:p>
        </w:tc>
        <w:tc>
          <w:tcPr>
            <w:tcW w:w="7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10</w:t>
            </w:r>
          </w:p>
        </w:tc>
        <w:tc>
          <w:tcPr>
            <w:tcW w:w="8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10.00</w:t>
            </w:r>
          </w:p>
        </w:tc>
        <w:tc>
          <w:tcPr>
            <w:tcW w:w="78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2"/>
                <w:szCs w:val="22"/>
                <w:u w:val="none"/>
              </w:rPr>
            </w:pPr>
          </w:p>
        </w:tc>
        <w:tc>
          <w:tcPr>
            <w:tcW w:w="141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14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社会成本指标</w:t>
            </w:r>
          </w:p>
        </w:tc>
        <w:tc>
          <w:tcPr>
            <w:tcW w:w="104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社会成本节约率</w:t>
            </w:r>
          </w:p>
        </w:tc>
        <w:tc>
          <w:tcPr>
            <w:tcW w:w="983"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≤0</w:t>
            </w:r>
          </w:p>
        </w:tc>
        <w:tc>
          <w:tcPr>
            <w:tcW w:w="781"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0</w:t>
            </w:r>
          </w:p>
        </w:tc>
        <w:tc>
          <w:tcPr>
            <w:tcW w:w="7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5</w:t>
            </w:r>
          </w:p>
        </w:tc>
        <w:tc>
          <w:tcPr>
            <w:tcW w:w="8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5.00</w:t>
            </w:r>
          </w:p>
        </w:tc>
        <w:tc>
          <w:tcPr>
            <w:tcW w:w="78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1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2"/>
                <w:szCs w:val="22"/>
                <w:u w:val="none"/>
              </w:rPr>
            </w:pPr>
          </w:p>
        </w:tc>
        <w:tc>
          <w:tcPr>
            <w:tcW w:w="1419"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14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生态环境成本指标</w:t>
            </w:r>
          </w:p>
        </w:tc>
        <w:tc>
          <w:tcPr>
            <w:tcW w:w="104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对生态环境无恶劣影响</w:t>
            </w:r>
          </w:p>
        </w:tc>
        <w:tc>
          <w:tcPr>
            <w:tcW w:w="983"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无影响</w:t>
            </w:r>
          </w:p>
        </w:tc>
        <w:tc>
          <w:tcPr>
            <w:tcW w:w="781"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无影响</w:t>
            </w:r>
          </w:p>
        </w:tc>
        <w:tc>
          <w:tcPr>
            <w:tcW w:w="7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5</w:t>
            </w:r>
          </w:p>
        </w:tc>
        <w:tc>
          <w:tcPr>
            <w:tcW w:w="8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5.00</w:t>
            </w:r>
          </w:p>
        </w:tc>
        <w:tc>
          <w:tcPr>
            <w:tcW w:w="78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6263" w:type="dxa"/>
            <w:gridSpan w:val="6"/>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总分</w:t>
            </w:r>
          </w:p>
        </w:tc>
        <w:tc>
          <w:tcPr>
            <w:tcW w:w="77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100</w:t>
            </w:r>
          </w:p>
        </w:tc>
        <w:tc>
          <w:tcPr>
            <w:tcW w:w="85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97.20</w:t>
            </w:r>
          </w:p>
        </w:tc>
        <w:tc>
          <w:tcPr>
            <w:tcW w:w="78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r>
    </w:tbl>
    <w:p>
      <w:pPr>
        <w:pStyle w:val="2"/>
        <w:ind w:left="0" w:leftChars="0" w:firstLine="0" w:firstLineChars="0"/>
        <w:rPr>
          <w:rFonts w:hint="default" w:ascii="仿宋_GB2312" w:eastAsia="仿宋_GB2312"/>
          <w:sz w:val="32"/>
        </w:rPr>
      </w:pPr>
    </w:p>
    <w:p>
      <w:pPr>
        <w:pStyle w:val="2"/>
        <w:ind w:left="0" w:leftChars="0" w:firstLine="0" w:firstLineChars="0"/>
        <w:rPr>
          <w:rFonts w:hint="default" w:ascii="仿宋_GB2312" w:eastAsia="仿宋_GB2312"/>
          <w:sz w:val="32"/>
        </w:rPr>
      </w:pPr>
    </w:p>
    <w:tbl>
      <w:tblPr>
        <w:tblStyle w:val="7"/>
        <w:tblpPr w:leftFromText="180" w:rightFromText="180" w:vertAnchor="text" w:horzAnchor="page" w:tblpX="164" w:tblpY="777"/>
        <w:tblOverlap w:val="never"/>
        <w:tblW w:w="102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0"/>
        <w:gridCol w:w="1170"/>
        <w:gridCol w:w="1583"/>
        <w:gridCol w:w="1159"/>
        <w:gridCol w:w="1274"/>
        <w:gridCol w:w="1011"/>
        <w:gridCol w:w="935"/>
        <w:gridCol w:w="1242"/>
        <w:gridCol w:w="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2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Microsoft YaHei" w:hAnsi="Microsoft YaHei" w:eastAsia="Microsoft YaHei" w:cs="Microsoft YaHei"/>
                <w:b/>
                <w:i w:val="0"/>
                <w:color w:val="000000"/>
                <w:sz w:val="20"/>
                <w:szCs w:val="20"/>
                <w:u w:val="none"/>
              </w:rPr>
            </w:pPr>
            <w:r>
              <w:rPr>
                <w:rFonts w:hint="default" w:ascii="Microsoft YaHei" w:hAnsi="Microsoft YaHei" w:eastAsia="Microsoft YaHei" w:cs="Microsoft YaHei"/>
                <w:b/>
                <w:i w:val="0"/>
                <w:color w:val="000000"/>
                <w:kern w:val="0"/>
                <w:sz w:val="20"/>
                <w:szCs w:val="20"/>
                <w:u w:val="none"/>
                <w:lang w:val="en-US" w:eastAsia="zh-CN" w:bidi="ar"/>
              </w:rPr>
              <w:t>项目支出名称</w:t>
            </w:r>
          </w:p>
        </w:tc>
        <w:tc>
          <w:tcPr>
            <w:tcW w:w="6667" w:type="dxa"/>
            <w:gridSpan w:val="8"/>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委员学习培训费-1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26"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lang w:val="en-US" w:eastAsia="zh-CN"/>
              </w:rPr>
            </w:pPr>
          </w:p>
          <w:p>
            <w:pPr>
              <w:pStyle w:val="2"/>
              <w:rPr>
                <w:rFonts w:hint="default" w:ascii="Microsoft YaHei" w:hAnsi="Microsoft YaHei" w:eastAsia="Microsoft YaHei" w:cs="Microsoft YaHei"/>
                <w:b/>
                <w:i w:val="0"/>
                <w:color w:val="000000"/>
                <w:kern w:val="0"/>
                <w:sz w:val="20"/>
                <w:szCs w:val="20"/>
                <w:u w:val="none"/>
                <w:lang w:val="en-US" w:eastAsia="zh-CN" w:bidi="ar"/>
              </w:rPr>
            </w:pPr>
          </w:p>
          <w:p>
            <w:pPr>
              <w:pStyle w:val="2"/>
              <w:rPr>
                <w:rFonts w:hint="default" w:ascii="Microsoft YaHei" w:hAnsi="Microsoft YaHei" w:eastAsia="Microsoft YaHei" w:cs="Microsoft YaHei"/>
                <w:b/>
                <w:i w:val="0"/>
                <w:color w:val="000000"/>
                <w:kern w:val="0"/>
                <w:sz w:val="20"/>
                <w:szCs w:val="20"/>
                <w:u w:val="none"/>
                <w:lang w:val="en-US" w:eastAsia="zh-CN" w:bidi="ar"/>
              </w:rPr>
            </w:pPr>
          </w:p>
        </w:tc>
        <w:tc>
          <w:tcPr>
            <w:tcW w:w="6667" w:type="dxa"/>
            <w:gridSpan w:val="8"/>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2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0"/>
                <w:szCs w:val="20"/>
                <w:u w:val="none"/>
              </w:rPr>
            </w:pPr>
          </w:p>
        </w:tc>
        <w:tc>
          <w:tcPr>
            <w:tcW w:w="6667" w:type="dxa"/>
            <w:gridSpan w:val="8"/>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72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0"/>
                <w:szCs w:val="20"/>
                <w:u w:val="none"/>
              </w:rPr>
            </w:pPr>
            <w:r>
              <w:rPr>
                <w:rFonts w:hint="default" w:ascii="Microsoft YaHei" w:hAnsi="Microsoft YaHei" w:eastAsia="Microsoft YaHei" w:cs="Microsoft YaHei"/>
                <w:b/>
                <w:i w:val="0"/>
                <w:color w:val="000000"/>
                <w:kern w:val="0"/>
                <w:sz w:val="20"/>
                <w:szCs w:val="20"/>
                <w:u w:val="none"/>
                <w:lang w:val="en-US" w:eastAsia="zh-CN" w:bidi="ar"/>
              </w:rPr>
              <w:t>主管部门</w:t>
            </w:r>
          </w:p>
        </w:tc>
        <w:tc>
          <w:tcPr>
            <w:tcW w:w="3728" w:type="dxa"/>
            <w:gridSpan w:val="4"/>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中国人民政协永州市双牌县委员会办公室</w:t>
            </w:r>
          </w:p>
        </w:tc>
        <w:tc>
          <w:tcPr>
            <w:tcW w:w="72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实施单位</w:t>
            </w:r>
          </w:p>
        </w:tc>
        <w:tc>
          <w:tcPr>
            <w:tcW w:w="2212" w:type="dxa"/>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中国人民政治协商会议湖南省双牌县委员会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72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项目资金(万元)</w:t>
            </w:r>
          </w:p>
        </w:tc>
        <w:tc>
          <w:tcPr>
            <w:tcW w:w="1979" w:type="dxa"/>
            <w:gridSpan w:val="2"/>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lang w:val="en-US" w:eastAsia="zh-CN" w:bidi="ar"/>
              </w:rPr>
              <w:t xml:space="preserve">     资金来源</w:t>
            </w:r>
          </w:p>
        </w:tc>
        <w:tc>
          <w:tcPr>
            <w:tcW w:w="833"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lang w:val="en-US" w:eastAsia="zh-CN" w:bidi="ar"/>
              </w:rPr>
              <w:t>年初预算数</w:t>
            </w:r>
          </w:p>
        </w:tc>
        <w:tc>
          <w:tcPr>
            <w:tcW w:w="916"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lang w:val="en-US" w:eastAsia="zh-CN" w:bidi="ar"/>
              </w:rPr>
              <w:t>全年预算数</w:t>
            </w:r>
          </w:p>
        </w:tc>
        <w:tc>
          <w:tcPr>
            <w:tcW w:w="727"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lang w:val="en-US" w:eastAsia="zh-CN" w:bidi="ar"/>
              </w:rPr>
              <w:t>全年执行数</w:t>
            </w:r>
          </w:p>
        </w:tc>
        <w:tc>
          <w:tcPr>
            <w:tcW w:w="67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lang w:val="en-US" w:eastAsia="zh-CN" w:bidi="ar"/>
              </w:rPr>
              <w:t>分值</w:t>
            </w:r>
          </w:p>
        </w:tc>
        <w:tc>
          <w:tcPr>
            <w:tcW w:w="89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lang w:val="en-US" w:eastAsia="zh-CN" w:bidi="ar"/>
              </w:rPr>
              <w:t>执行率</w:t>
            </w:r>
          </w:p>
        </w:tc>
        <w:tc>
          <w:tcPr>
            <w:tcW w:w="64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72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197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833" w:type="dxa"/>
            <w:vMerge w:val="continue"/>
            <w:tcBorders>
              <w:top w:val="nil"/>
              <w:left w:val="single" w:color="000000" w:sz="8" w:space="0"/>
              <w:bottom w:val="single" w:color="000000" w:sz="8" w:space="0"/>
              <w:right w:val="nil"/>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916" w:type="dxa"/>
            <w:vMerge w:val="continue"/>
            <w:tcBorders>
              <w:top w:val="nil"/>
              <w:left w:val="single" w:color="000000" w:sz="8" w:space="0"/>
              <w:bottom w:val="single" w:color="000000" w:sz="8" w:space="0"/>
              <w:right w:val="nil"/>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727"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6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8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64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2" w:hRule="atLeast"/>
        </w:trPr>
        <w:tc>
          <w:tcPr>
            <w:tcW w:w="72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1979" w:type="dxa"/>
            <w:gridSpan w:val="2"/>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833" w:type="dxa"/>
            <w:vMerge w:val="continue"/>
            <w:tcBorders>
              <w:top w:val="nil"/>
              <w:left w:val="single" w:color="000000" w:sz="8" w:space="0"/>
              <w:bottom w:val="single" w:color="000000" w:sz="8" w:space="0"/>
              <w:right w:val="nil"/>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916" w:type="dxa"/>
            <w:vMerge w:val="continue"/>
            <w:tcBorders>
              <w:top w:val="nil"/>
              <w:left w:val="single" w:color="000000" w:sz="8" w:space="0"/>
              <w:bottom w:val="single" w:color="000000" w:sz="8" w:space="0"/>
              <w:right w:val="nil"/>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727"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67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8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64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72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197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其中:当年财政拨款</w:t>
            </w:r>
          </w:p>
        </w:tc>
        <w:tc>
          <w:tcPr>
            <w:tcW w:w="833"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15</w:t>
            </w:r>
          </w:p>
        </w:tc>
        <w:tc>
          <w:tcPr>
            <w:tcW w:w="91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15</w:t>
            </w:r>
          </w:p>
        </w:tc>
        <w:tc>
          <w:tcPr>
            <w:tcW w:w="72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15</w:t>
            </w:r>
          </w:p>
        </w:tc>
        <w:tc>
          <w:tcPr>
            <w:tcW w:w="67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89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64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72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197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上年结转金额</w:t>
            </w:r>
          </w:p>
        </w:tc>
        <w:tc>
          <w:tcPr>
            <w:tcW w:w="833"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5.72</w:t>
            </w:r>
          </w:p>
        </w:tc>
        <w:tc>
          <w:tcPr>
            <w:tcW w:w="91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5.72</w:t>
            </w:r>
          </w:p>
        </w:tc>
        <w:tc>
          <w:tcPr>
            <w:tcW w:w="72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4.12</w:t>
            </w:r>
          </w:p>
        </w:tc>
        <w:tc>
          <w:tcPr>
            <w:tcW w:w="67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89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64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72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197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其它资金</w:t>
            </w:r>
          </w:p>
        </w:tc>
        <w:tc>
          <w:tcPr>
            <w:tcW w:w="833"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0</w:t>
            </w:r>
          </w:p>
        </w:tc>
        <w:tc>
          <w:tcPr>
            <w:tcW w:w="91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0</w:t>
            </w:r>
          </w:p>
        </w:tc>
        <w:tc>
          <w:tcPr>
            <w:tcW w:w="72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0</w:t>
            </w:r>
          </w:p>
        </w:tc>
        <w:tc>
          <w:tcPr>
            <w:tcW w:w="672"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89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64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72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1979"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年度资金总额</w:t>
            </w:r>
          </w:p>
        </w:tc>
        <w:tc>
          <w:tcPr>
            <w:tcW w:w="833"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20.72</w:t>
            </w:r>
          </w:p>
        </w:tc>
        <w:tc>
          <w:tcPr>
            <w:tcW w:w="916"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20.72</w:t>
            </w:r>
          </w:p>
        </w:tc>
        <w:tc>
          <w:tcPr>
            <w:tcW w:w="72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19.12</w:t>
            </w:r>
          </w:p>
        </w:tc>
        <w:tc>
          <w:tcPr>
            <w:tcW w:w="6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10</w:t>
            </w:r>
          </w:p>
        </w:tc>
        <w:tc>
          <w:tcPr>
            <w:tcW w:w="89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92.00%</w:t>
            </w:r>
          </w:p>
        </w:tc>
        <w:tc>
          <w:tcPr>
            <w:tcW w:w="64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72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0"/>
                <w:szCs w:val="20"/>
                <w:u w:val="none"/>
              </w:rPr>
            </w:pPr>
            <w:r>
              <w:rPr>
                <w:rFonts w:hint="default" w:ascii="Microsoft YaHei" w:hAnsi="Microsoft YaHei" w:eastAsia="Microsoft YaHei" w:cs="Microsoft YaHei"/>
                <w:b/>
                <w:i w:val="0"/>
                <w:color w:val="000000"/>
                <w:kern w:val="0"/>
                <w:sz w:val="20"/>
                <w:szCs w:val="20"/>
                <w:u w:val="none"/>
                <w:lang w:val="en-US" w:eastAsia="zh-CN" w:bidi="ar"/>
              </w:rPr>
              <w:t>年度总体目标</w:t>
            </w:r>
          </w:p>
        </w:tc>
        <w:tc>
          <w:tcPr>
            <w:tcW w:w="3728" w:type="dxa"/>
            <w:gridSpan w:val="4"/>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预期目标</w:t>
            </w:r>
          </w:p>
        </w:tc>
        <w:tc>
          <w:tcPr>
            <w:tcW w:w="2939" w:type="dxa"/>
            <w:gridSpan w:val="4"/>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2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0"/>
                <w:szCs w:val="20"/>
                <w:u w:val="none"/>
              </w:rPr>
            </w:pPr>
          </w:p>
        </w:tc>
        <w:tc>
          <w:tcPr>
            <w:tcW w:w="3728" w:type="dxa"/>
            <w:gridSpan w:val="4"/>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提高政协委员履职意识和能力，充分发挥政协委员的主体作用。</w:t>
            </w:r>
          </w:p>
        </w:tc>
        <w:tc>
          <w:tcPr>
            <w:tcW w:w="2939" w:type="dxa"/>
            <w:gridSpan w:val="4"/>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2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0"/>
                <w:szCs w:val="20"/>
                <w:u w:val="none"/>
              </w:rPr>
            </w:pPr>
          </w:p>
        </w:tc>
        <w:tc>
          <w:tcPr>
            <w:tcW w:w="3728" w:type="dxa"/>
            <w:gridSpan w:val="4"/>
            <w:vMerge w:val="continue"/>
            <w:tcBorders>
              <w:top w:val="nil"/>
              <w:left w:val="single" w:color="000000" w:sz="8" w:space="0"/>
              <w:bottom w:val="single" w:color="000000" w:sz="8" w:space="0"/>
              <w:right w:val="nil"/>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2939" w:type="dxa"/>
            <w:gridSpan w:val="4"/>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2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0"/>
                <w:szCs w:val="20"/>
                <w:u w:val="none"/>
              </w:rPr>
            </w:pPr>
          </w:p>
        </w:tc>
        <w:tc>
          <w:tcPr>
            <w:tcW w:w="3728" w:type="dxa"/>
            <w:gridSpan w:val="4"/>
            <w:vMerge w:val="continue"/>
            <w:tcBorders>
              <w:top w:val="nil"/>
              <w:left w:val="single" w:color="000000" w:sz="8" w:space="0"/>
              <w:bottom w:val="single" w:color="000000" w:sz="8" w:space="0"/>
              <w:right w:val="nil"/>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2939" w:type="dxa"/>
            <w:gridSpan w:val="4"/>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26"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2"/>
                <w:szCs w:val="22"/>
                <w:u w:val="none"/>
              </w:rPr>
            </w:pPr>
            <w:r>
              <w:rPr>
                <w:rFonts w:hint="default" w:ascii="Microsoft YaHei" w:hAnsi="Microsoft YaHei" w:eastAsia="Microsoft YaHei" w:cs="Microsoft YaHei"/>
                <w:i w:val="0"/>
                <w:color w:val="000000"/>
                <w:kern w:val="0"/>
                <w:sz w:val="22"/>
                <w:szCs w:val="22"/>
                <w:u w:val="none"/>
                <w:lang w:val="en-US" w:eastAsia="zh-CN" w:bidi="ar"/>
              </w:rPr>
              <w:t>绩效指标</w:t>
            </w:r>
          </w:p>
        </w:tc>
        <w:tc>
          <w:tcPr>
            <w:tcW w:w="84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lang w:val="en-US" w:eastAsia="zh-CN" w:bidi="ar"/>
              </w:rPr>
              <w:t>一级指标</w:t>
            </w:r>
          </w:p>
        </w:tc>
        <w:tc>
          <w:tcPr>
            <w:tcW w:w="1138"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lang w:val="en-US" w:eastAsia="zh-CN" w:bidi="ar"/>
              </w:rPr>
              <w:t>二级指标</w:t>
            </w:r>
          </w:p>
        </w:tc>
        <w:tc>
          <w:tcPr>
            <w:tcW w:w="83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lang w:val="en-US" w:eastAsia="zh-CN" w:bidi="ar"/>
              </w:rPr>
              <w:t>三级指标</w:t>
            </w:r>
          </w:p>
        </w:tc>
        <w:tc>
          <w:tcPr>
            <w:tcW w:w="916" w:type="dxa"/>
            <w:vMerge w:val="restart"/>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lang w:val="en-US" w:eastAsia="zh-CN" w:bidi="ar"/>
              </w:rPr>
              <w:t>年度指标值</w:t>
            </w:r>
          </w:p>
        </w:tc>
        <w:tc>
          <w:tcPr>
            <w:tcW w:w="727" w:type="dxa"/>
            <w:vMerge w:val="restart"/>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lang w:val="en-US" w:eastAsia="zh-CN" w:bidi="ar"/>
              </w:rPr>
              <w:t>实际完成值</w:t>
            </w:r>
          </w:p>
        </w:tc>
        <w:tc>
          <w:tcPr>
            <w:tcW w:w="67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lang w:val="en-US" w:eastAsia="zh-CN" w:bidi="ar"/>
              </w:rPr>
              <w:t>分值</w:t>
            </w:r>
          </w:p>
        </w:tc>
        <w:tc>
          <w:tcPr>
            <w:tcW w:w="893"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lang w:val="en-US" w:eastAsia="zh-CN" w:bidi="ar"/>
              </w:rPr>
              <w:t>得分</w:t>
            </w:r>
          </w:p>
        </w:tc>
        <w:tc>
          <w:tcPr>
            <w:tcW w:w="647"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72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2"/>
                <w:szCs w:val="22"/>
                <w:u w:val="none"/>
              </w:rPr>
            </w:pPr>
          </w:p>
        </w:tc>
        <w:tc>
          <w:tcPr>
            <w:tcW w:w="84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113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83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916" w:type="dxa"/>
            <w:vMerge w:val="continue"/>
            <w:tcBorders>
              <w:top w:val="nil"/>
              <w:left w:val="nil"/>
              <w:bottom w:val="single" w:color="000000" w:sz="8" w:space="0"/>
              <w:right w:val="nil"/>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727" w:type="dxa"/>
            <w:vMerge w:val="continue"/>
            <w:tcBorders>
              <w:top w:val="nil"/>
              <w:left w:val="single" w:color="000000" w:sz="8" w:space="0"/>
              <w:bottom w:val="single" w:color="000000" w:sz="8" w:space="0"/>
              <w:right w:val="nil"/>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67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89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64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4" w:hRule="atLeast"/>
        </w:trPr>
        <w:tc>
          <w:tcPr>
            <w:tcW w:w="72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2"/>
                <w:szCs w:val="22"/>
                <w:u w:val="none"/>
              </w:rPr>
            </w:pPr>
          </w:p>
        </w:tc>
        <w:tc>
          <w:tcPr>
            <w:tcW w:w="84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113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83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916" w:type="dxa"/>
            <w:vMerge w:val="continue"/>
            <w:tcBorders>
              <w:top w:val="nil"/>
              <w:left w:val="nil"/>
              <w:bottom w:val="single" w:color="000000" w:sz="8" w:space="0"/>
              <w:right w:val="nil"/>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727" w:type="dxa"/>
            <w:vMerge w:val="continue"/>
            <w:tcBorders>
              <w:top w:val="nil"/>
              <w:left w:val="single" w:color="000000" w:sz="8" w:space="0"/>
              <w:bottom w:val="single" w:color="000000" w:sz="8" w:space="0"/>
              <w:right w:val="nil"/>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67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89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c>
          <w:tcPr>
            <w:tcW w:w="64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72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2"/>
                <w:szCs w:val="22"/>
                <w:u w:val="none"/>
              </w:rPr>
            </w:pPr>
          </w:p>
        </w:tc>
        <w:tc>
          <w:tcPr>
            <w:tcW w:w="84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产出指标</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数量指标</w:t>
            </w:r>
          </w:p>
        </w:tc>
        <w:tc>
          <w:tcPr>
            <w:tcW w:w="83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参加培训人数</w:t>
            </w:r>
          </w:p>
        </w:tc>
        <w:tc>
          <w:tcPr>
            <w:tcW w:w="91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≥40人</w:t>
            </w:r>
          </w:p>
        </w:tc>
        <w:tc>
          <w:tcPr>
            <w:tcW w:w="72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48</w:t>
            </w:r>
          </w:p>
        </w:tc>
        <w:tc>
          <w:tcPr>
            <w:tcW w:w="6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10</w:t>
            </w:r>
          </w:p>
        </w:tc>
        <w:tc>
          <w:tcPr>
            <w:tcW w:w="89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10.00</w:t>
            </w:r>
          </w:p>
        </w:tc>
        <w:tc>
          <w:tcPr>
            <w:tcW w:w="64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4" w:hRule="atLeast"/>
        </w:trPr>
        <w:tc>
          <w:tcPr>
            <w:tcW w:w="72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2"/>
                <w:szCs w:val="22"/>
                <w:u w:val="none"/>
              </w:rPr>
            </w:pPr>
          </w:p>
        </w:tc>
        <w:tc>
          <w:tcPr>
            <w:tcW w:w="84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11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质量指标</w:t>
            </w:r>
          </w:p>
        </w:tc>
        <w:tc>
          <w:tcPr>
            <w:tcW w:w="83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资金适用合规性</w:t>
            </w:r>
          </w:p>
        </w:tc>
        <w:tc>
          <w:tcPr>
            <w:tcW w:w="91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100%</w:t>
            </w:r>
          </w:p>
        </w:tc>
        <w:tc>
          <w:tcPr>
            <w:tcW w:w="72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100%</w:t>
            </w:r>
          </w:p>
        </w:tc>
        <w:tc>
          <w:tcPr>
            <w:tcW w:w="6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10</w:t>
            </w:r>
          </w:p>
        </w:tc>
        <w:tc>
          <w:tcPr>
            <w:tcW w:w="89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10.00</w:t>
            </w:r>
          </w:p>
        </w:tc>
        <w:tc>
          <w:tcPr>
            <w:tcW w:w="64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72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2"/>
                <w:szCs w:val="22"/>
                <w:u w:val="none"/>
              </w:rPr>
            </w:pPr>
          </w:p>
        </w:tc>
        <w:tc>
          <w:tcPr>
            <w:tcW w:w="84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11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时效指标</w:t>
            </w:r>
          </w:p>
        </w:tc>
        <w:tc>
          <w:tcPr>
            <w:tcW w:w="83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完成及时性</w:t>
            </w:r>
          </w:p>
        </w:tc>
        <w:tc>
          <w:tcPr>
            <w:tcW w:w="91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2024年</w:t>
            </w:r>
          </w:p>
        </w:tc>
        <w:tc>
          <w:tcPr>
            <w:tcW w:w="72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2024年</w:t>
            </w:r>
          </w:p>
        </w:tc>
        <w:tc>
          <w:tcPr>
            <w:tcW w:w="6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10</w:t>
            </w:r>
          </w:p>
        </w:tc>
        <w:tc>
          <w:tcPr>
            <w:tcW w:w="89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10.00</w:t>
            </w:r>
          </w:p>
        </w:tc>
        <w:tc>
          <w:tcPr>
            <w:tcW w:w="64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1" w:hRule="atLeast"/>
        </w:trPr>
        <w:tc>
          <w:tcPr>
            <w:tcW w:w="72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2"/>
                <w:szCs w:val="22"/>
                <w:u w:val="none"/>
              </w:rPr>
            </w:pPr>
          </w:p>
        </w:tc>
        <w:tc>
          <w:tcPr>
            <w:tcW w:w="84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效益指标</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经济效益指标</w:t>
            </w:r>
          </w:p>
        </w:tc>
        <w:tc>
          <w:tcPr>
            <w:tcW w:w="83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充分发挥专项资金使用效益</w:t>
            </w:r>
          </w:p>
        </w:tc>
        <w:tc>
          <w:tcPr>
            <w:tcW w:w="91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效果显著</w:t>
            </w:r>
          </w:p>
        </w:tc>
        <w:tc>
          <w:tcPr>
            <w:tcW w:w="72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效果显著</w:t>
            </w:r>
          </w:p>
        </w:tc>
        <w:tc>
          <w:tcPr>
            <w:tcW w:w="6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10</w:t>
            </w:r>
          </w:p>
        </w:tc>
        <w:tc>
          <w:tcPr>
            <w:tcW w:w="89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10.00</w:t>
            </w:r>
          </w:p>
        </w:tc>
        <w:tc>
          <w:tcPr>
            <w:tcW w:w="64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5" w:hRule="atLeast"/>
        </w:trPr>
        <w:tc>
          <w:tcPr>
            <w:tcW w:w="72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2"/>
                <w:szCs w:val="22"/>
                <w:u w:val="none"/>
              </w:rPr>
            </w:pPr>
          </w:p>
        </w:tc>
        <w:tc>
          <w:tcPr>
            <w:tcW w:w="84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11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社会效益指标</w:t>
            </w:r>
          </w:p>
        </w:tc>
        <w:tc>
          <w:tcPr>
            <w:tcW w:w="83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提高委员履职能力，为社会发展提出好的建议</w:t>
            </w:r>
          </w:p>
        </w:tc>
        <w:tc>
          <w:tcPr>
            <w:tcW w:w="91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效果明显</w:t>
            </w:r>
          </w:p>
        </w:tc>
        <w:tc>
          <w:tcPr>
            <w:tcW w:w="72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效果明显</w:t>
            </w:r>
          </w:p>
        </w:tc>
        <w:tc>
          <w:tcPr>
            <w:tcW w:w="6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10</w:t>
            </w:r>
          </w:p>
        </w:tc>
        <w:tc>
          <w:tcPr>
            <w:tcW w:w="89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10.00</w:t>
            </w:r>
          </w:p>
        </w:tc>
        <w:tc>
          <w:tcPr>
            <w:tcW w:w="64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4" w:hRule="atLeast"/>
        </w:trPr>
        <w:tc>
          <w:tcPr>
            <w:tcW w:w="72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2"/>
                <w:szCs w:val="22"/>
                <w:u w:val="none"/>
              </w:rPr>
            </w:pPr>
          </w:p>
        </w:tc>
        <w:tc>
          <w:tcPr>
            <w:tcW w:w="84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11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生态效益指标</w:t>
            </w:r>
          </w:p>
        </w:tc>
        <w:tc>
          <w:tcPr>
            <w:tcW w:w="83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对生态环境无恶劣影响</w:t>
            </w:r>
          </w:p>
        </w:tc>
        <w:tc>
          <w:tcPr>
            <w:tcW w:w="91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无影响</w:t>
            </w:r>
          </w:p>
        </w:tc>
        <w:tc>
          <w:tcPr>
            <w:tcW w:w="72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无影响</w:t>
            </w:r>
          </w:p>
        </w:tc>
        <w:tc>
          <w:tcPr>
            <w:tcW w:w="6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5</w:t>
            </w:r>
          </w:p>
        </w:tc>
        <w:tc>
          <w:tcPr>
            <w:tcW w:w="89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5.00</w:t>
            </w:r>
          </w:p>
        </w:tc>
        <w:tc>
          <w:tcPr>
            <w:tcW w:w="64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3" w:hRule="atLeast"/>
        </w:trPr>
        <w:tc>
          <w:tcPr>
            <w:tcW w:w="72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2"/>
                <w:szCs w:val="22"/>
                <w:u w:val="none"/>
              </w:rPr>
            </w:pPr>
          </w:p>
        </w:tc>
        <w:tc>
          <w:tcPr>
            <w:tcW w:w="84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11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可持续影响指标</w:t>
            </w:r>
          </w:p>
        </w:tc>
        <w:tc>
          <w:tcPr>
            <w:tcW w:w="83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持续提升政协委员政治协商、民主监督、参政议政能力</w:t>
            </w:r>
          </w:p>
        </w:tc>
        <w:tc>
          <w:tcPr>
            <w:tcW w:w="91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效果明显</w:t>
            </w:r>
          </w:p>
        </w:tc>
        <w:tc>
          <w:tcPr>
            <w:tcW w:w="72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效果明显</w:t>
            </w:r>
          </w:p>
        </w:tc>
        <w:tc>
          <w:tcPr>
            <w:tcW w:w="6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5</w:t>
            </w:r>
          </w:p>
        </w:tc>
        <w:tc>
          <w:tcPr>
            <w:tcW w:w="89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5.00</w:t>
            </w:r>
          </w:p>
        </w:tc>
        <w:tc>
          <w:tcPr>
            <w:tcW w:w="64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4" w:hRule="atLeast"/>
        </w:trPr>
        <w:tc>
          <w:tcPr>
            <w:tcW w:w="72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2"/>
                <w:szCs w:val="22"/>
                <w:u w:val="none"/>
              </w:rPr>
            </w:pPr>
          </w:p>
        </w:tc>
        <w:tc>
          <w:tcPr>
            <w:tcW w:w="84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满意度指标</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服务对象满意度指标</w:t>
            </w:r>
          </w:p>
        </w:tc>
        <w:tc>
          <w:tcPr>
            <w:tcW w:w="83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参训委员满意度</w:t>
            </w:r>
          </w:p>
        </w:tc>
        <w:tc>
          <w:tcPr>
            <w:tcW w:w="91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≥95%</w:t>
            </w:r>
          </w:p>
        </w:tc>
        <w:tc>
          <w:tcPr>
            <w:tcW w:w="72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98%</w:t>
            </w:r>
          </w:p>
        </w:tc>
        <w:tc>
          <w:tcPr>
            <w:tcW w:w="6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10</w:t>
            </w:r>
          </w:p>
        </w:tc>
        <w:tc>
          <w:tcPr>
            <w:tcW w:w="89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10.00</w:t>
            </w:r>
          </w:p>
        </w:tc>
        <w:tc>
          <w:tcPr>
            <w:tcW w:w="64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72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2"/>
                <w:szCs w:val="22"/>
                <w:u w:val="none"/>
              </w:rPr>
            </w:pPr>
          </w:p>
        </w:tc>
        <w:tc>
          <w:tcPr>
            <w:tcW w:w="841"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成本指标</w:t>
            </w:r>
          </w:p>
        </w:tc>
        <w:tc>
          <w:tcPr>
            <w:tcW w:w="11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经济成本指标</w:t>
            </w:r>
          </w:p>
        </w:tc>
        <w:tc>
          <w:tcPr>
            <w:tcW w:w="83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委员培训经费</w:t>
            </w:r>
          </w:p>
        </w:tc>
        <w:tc>
          <w:tcPr>
            <w:tcW w:w="91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≤20.72</w:t>
            </w:r>
          </w:p>
        </w:tc>
        <w:tc>
          <w:tcPr>
            <w:tcW w:w="72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19.12</w:t>
            </w:r>
          </w:p>
        </w:tc>
        <w:tc>
          <w:tcPr>
            <w:tcW w:w="6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10</w:t>
            </w:r>
          </w:p>
        </w:tc>
        <w:tc>
          <w:tcPr>
            <w:tcW w:w="89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10.00</w:t>
            </w:r>
          </w:p>
        </w:tc>
        <w:tc>
          <w:tcPr>
            <w:tcW w:w="64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4" w:hRule="atLeast"/>
        </w:trPr>
        <w:tc>
          <w:tcPr>
            <w:tcW w:w="72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2"/>
                <w:szCs w:val="22"/>
                <w:u w:val="none"/>
              </w:rPr>
            </w:pPr>
          </w:p>
        </w:tc>
        <w:tc>
          <w:tcPr>
            <w:tcW w:w="84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11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社会成本指标</w:t>
            </w:r>
          </w:p>
        </w:tc>
        <w:tc>
          <w:tcPr>
            <w:tcW w:w="83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社会成本节约率</w:t>
            </w:r>
          </w:p>
        </w:tc>
        <w:tc>
          <w:tcPr>
            <w:tcW w:w="91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≥0</w:t>
            </w:r>
          </w:p>
        </w:tc>
        <w:tc>
          <w:tcPr>
            <w:tcW w:w="72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0</w:t>
            </w:r>
          </w:p>
        </w:tc>
        <w:tc>
          <w:tcPr>
            <w:tcW w:w="6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5</w:t>
            </w:r>
          </w:p>
        </w:tc>
        <w:tc>
          <w:tcPr>
            <w:tcW w:w="89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5.00</w:t>
            </w:r>
          </w:p>
        </w:tc>
        <w:tc>
          <w:tcPr>
            <w:tcW w:w="64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4" w:hRule="atLeast"/>
        </w:trPr>
        <w:tc>
          <w:tcPr>
            <w:tcW w:w="726"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2"/>
                <w:szCs w:val="22"/>
                <w:u w:val="none"/>
              </w:rPr>
            </w:pPr>
          </w:p>
        </w:tc>
        <w:tc>
          <w:tcPr>
            <w:tcW w:w="84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c>
          <w:tcPr>
            <w:tcW w:w="113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生态环境成本指标</w:t>
            </w:r>
          </w:p>
        </w:tc>
        <w:tc>
          <w:tcPr>
            <w:tcW w:w="83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生态环境成本节约率</w:t>
            </w:r>
          </w:p>
        </w:tc>
        <w:tc>
          <w:tcPr>
            <w:tcW w:w="916"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≥0</w:t>
            </w:r>
          </w:p>
        </w:tc>
        <w:tc>
          <w:tcPr>
            <w:tcW w:w="727" w:type="dxa"/>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0</w:t>
            </w:r>
          </w:p>
        </w:tc>
        <w:tc>
          <w:tcPr>
            <w:tcW w:w="6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5</w:t>
            </w:r>
          </w:p>
        </w:tc>
        <w:tc>
          <w:tcPr>
            <w:tcW w:w="89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5.00</w:t>
            </w:r>
          </w:p>
        </w:tc>
        <w:tc>
          <w:tcPr>
            <w:tcW w:w="64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5181" w:type="dxa"/>
            <w:gridSpan w:val="6"/>
            <w:tcBorders>
              <w:top w:val="nil"/>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总分</w:t>
            </w:r>
          </w:p>
        </w:tc>
        <w:tc>
          <w:tcPr>
            <w:tcW w:w="67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100</w:t>
            </w:r>
          </w:p>
        </w:tc>
        <w:tc>
          <w:tcPr>
            <w:tcW w:w="89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lang w:val="en-US" w:eastAsia="zh-CN" w:bidi="ar"/>
              </w:rPr>
              <w:t>99.20</w:t>
            </w:r>
          </w:p>
        </w:tc>
        <w:tc>
          <w:tcPr>
            <w:tcW w:w="647"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Microsoft YaHei" w:hAnsi="Microsoft YaHei" w:eastAsia="Microsoft YaHei" w:cs="Microsoft YaHei"/>
                <w:i w:val="0"/>
                <w:color w:val="000000"/>
                <w:sz w:val="20"/>
                <w:szCs w:val="20"/>
                <w:u w:val="none"/>
              </w:rPr>
            </w:pPr>
          </w:p>
        </w:tc>
      </w:tr>
    </w:tbl>
    <w:p>
      <w:pPr>
        <w:pStyle w:val="2"/>
        <w:ind w:left="0" w:leftChars="0" w:firstLine="0" w:firstLineChars="0"/>
        <w:rPr>
          <w:rFonts w:hint="default" w:ascii="仿宋_GB2312" w:eastAsia="仿宋_GB2312"/>
          <w:sz w:val="32"/>
        </w:rPr>
      </w:pPr>
      <w:bookmarkStart w:id="0" w:name="_GoBack"/>
      <w:bookmarkEnd w:id="0"/>
    </w:p>
    <w:sectPr>
      <w:pgSz w:w="11905" w:h="16837"/>
      <w:pgMar w:top="1440" w:right="1701" w:bottom="1440" w:left="1701" w:header="851" w:footer="1474" w:gutter="0"/>
      <w:pgNumType w:fmt="numberInDash" w:start="1"/>
      <w:cols w:space="0" w:num="1"/>
      <w:docGrid w:type="lines"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0000000000000000000"/>
    <w:charset w:val="86"/>
    <w:family w:val="modern"/>
    <w:pitch w:val="default"/>
    <w:sig w:usb0="00000000" w:usb1="00000000" w:usb2="00000000" w:usb3="00000000" w:csb0="00040000" w:csb1="00000000"/>
  </w:font>
  <w:font w:name="楷体_GB2312">
    <w:altName w:val="方正楷体_GBK"/>
    <w:panose1 w:val="00000000000000000000"/>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Microsoft YaHei UI">
    <w:altName w:val="URW Bookman"/>
    <w:panose1 w:val="00000000000000000000"/>
    <w:charset w:val="00"/>
    <w:family w:val="auto"/>
    <w:pitch w:val="default"/>
    <w:sig w:usb0="00000000" w:usb1="00000000" w:usb2="00000000" w:usb3="00000000" w:csb0="00000000" w:csb1="00000000"/>
  </w:font>
  <w:font w:name="Microsoft YaHei">
    <w:altName w:val="方正黑体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 w:name="Tahoma">
    <w:altName w:val="DejaVu Sans"/>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E2A39"/>
    <w:multiLevelType w:val="singleLevel"/>
    <w:tmpl w:val="8B0E2A39"/>
    <w:lvl w:ilvl="0" w:tentative="0">
      <w:start w:val="8"/>
      <w:numFmt w:val="chineseCounting"/>
      <w:suff w:val="nothing"/>
      <w:lvlText w:val="%1、"/>
      <w:lvlJc w:val="left"/>
      <w:rPr>
        <w:rFonts w:hint="eastAsia"/>
      </w:rPr>
    </w:lvl>
  </w:abstractNum>
  <w:abstractNum w:abstractNumId="1">
    <w:nsid w:val="32235C00"/>
    <w:multiLevelType w:val="singleLevel"/>
    <w:tmpl w:val="32235C00"/>
    <w:lvl w:ilvl="0" w:tentative="0">
      <w:start w:val="1"/>
      <w:numFmt w:val="chineseCounting"/>
      <w:suff w:val="nothing"/>
      <w:lvlText w:val="（%1）"/>
      <w:lvlJc w:val="left"/>
      <w:rPr>
        <w:rFonts w:hint="eastAsia"/>
      </w:rPr>
    </w:lvl>
  </w:abstractNum>
  <w:abstractNum w:abstractNumId="2">
    <w:nsid w:val="57EB91F6"/>
    <w:multiLevelType w:val="multilevel"/>
    <w:tmpl w:val="57EB91F6"/>
    <w:lvl w:ilvl="0" w:tentative="0">
      <w:start w:val="1"/>
      <w:numFmt w:val="chineseCounting"/>
      <w:suff w:val="nothing"/>
      <w:lvlText w:val="%1、"/>
      <w:lvlJc w:val="left"/>
      <w:pPr>
        <w:ind w:left="640" w:firstLine="0"/>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evenAndOddHeaders w:val="true"/>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4NDMyYTZjYmI3M2VkOGMyNzMwNjFhMDlhYmI0OTMifQ=="/>
  </w:docVars>
  <w:rsids>
    <w:rsidRoot w:val="00172A27"/>
    <w:rsid w:val="00017642"/>
    <w:rsid w:val="00025E33"/>
    <w:rsid w:val="000560F1"/>
    <w:rsid w:val="00067D39"/>
    <w:rsid w:val="0007200C"/>
    <w:rsid w:val="00075E2C"/>
    <w:rsid w:val="00075EF2"/>
    <w:rsid w:val="000A0F3E"/>
    <w:rsid w:val="000A219A"/>
    <w:rsid w:val="000A6724"/>
    <w:rsid w:val="000B4DDA"/>
    <w:rsid w:val="000C7946"/>
    <w:rsid w:val="000E256E"/>
    <w:rsid w:val="00130855"/>
    <w:rsid w:val="00145F62"/>
    <w:rsid w:val="00147005"/>
    <w:rsid w:val="00172A27"/>
    <w:rsid w:val="001C135B"/>
    <w:rsid w:val="001C1A71"/>
    <w:rsid w:val="001C711E"/>
    <w:rsid w:val="001E2CED"/>
    <w:rsid w:val="00225CD0"/>
    <w:rsid w:val="00231FFD"/>
    <w:rsid w:val="00272199"/>
    <w:rsid w:val="00276C28"/>
    <w:rsid w:val="00284E2A"/>
    <w:rsid w:val="002A3E5F"/>
    <w:rsid w:val="002A4D47"/>
    <w:rsid w:val="002D18CF"/>
    <w:rsid w:val="002D3D61"/>
    <w:rsid w:val="002E6401"/>
    <w:rsid w:val="00301FD8"/>
    <w:rsid w:val="003028A7"/>
    <w:rsid w:val="00304EC9"/>
    <w:rsid w:val="003205B4"/>
    <w:rsid w:val="003339F2"/>
    <w:rsid w:val="003376C8"/>
    <w:rsid w:val="003762E5"/>
    <w:rsid w:val="00380FCF"/>
    <w:rsid w:val="00387D96"/>
    <w:rsid w:val="00392F51"/>
    <w:rsid w:val="003D61A3"/>
    <w:rsid w:val="003F3A4B"/>
    <w:rsid w:val="003F6ED5"/>
    <w:rsid w:val="004121F2"/>
    <w:rsid w:val="00420360"/>
    <w:rsid w:val="00434E61"/>
    <w:rsid w:val="0044185F"/>
    <w:rsid w:val="0044442E"/>
    <w:rsid w:val="004453EF"/>
    <w:rsid w:val="00480FB5"/>
    <w:rsid w:val="004A334C"/>
    <w:rsid w:val="004A3B4E"/>
    <w:rsid w:val="004B4476"/>
    <w:rsid w:val="004C03A4"/>
    <w:rsid w:val="004C16CF"/>
    <w:rsid w:val="004D4F0A"/>
    <w:rsid w:val="00504C23"/>
    <w:rsid w:val="00544646"/>
    <w:rsid w:val="00547533"/>
    <w:rsid w:val="00556D9A"/>
    <w:rsid w:val="005723BE"/>
    <w:rsid w:val="005A5BC2"/>
    <w:rsid w:val="00600882"/>
    <w:rsid w:val="006075A3"/>
    <w:rsid w:val="00646A7B"/>
    <w:rsid w:val="006736AD"/>
    <w:rsid w:val="0067551B"/>
    <w:rsid w:val="006C064F"/>
    <w:rsid w:val="006C2D25"/>
    <w:rsid w:val="006D77C5"/>
    <w:rsid w:val="006F54E8"/>
    <w:rsid w:val="00700AC0"/>
    <w:rsid w:val="007414AB"/>
    <w:rsid w:val="00772AD3"/>
    <w:rsid w:val="0077437C"/>
    <w:rsid w:val="00774A1F"/>
    <w:rsid w:val="0078652E"/>
    <w:rsid w:val="007A475B"/>
    <w:rsid w:val="007A751F"/>
    <w:rsid w:val="007B1F1C"/>
    <w:rsid w:val="007D129C"/>
    <w:rsid w:val="007D2153"/>
    <w:rsid w:val="007D7A69"/>
    <w:rsid w:val="007E6594"/>
    <w:rsid w:val="007E747E"/>
    <w:rsid w:val="00806F46"/>
    <w:rsid w:val="00812B0E"/>
    <w:rsid w:val="0082544A"/>
    <w:rsid w:val="00834CDF"/>
    <w:rsid w:val="00843780"/>
    <w:rsid w:val="00857905"/>
    <w:rsid w:val="008620D3"/>
    <w:rsid w:val="00867126"/>
    <w:rsid w:val="00867800"/>
    <w:rsid w:val="008878A2"/>
    <w:rsid w:val="008B25D2"/>
    <w:rsid w:val="008C3AEF"/>
    <w:rsid w:val="008E5503"/>
    <w:rsid w:val="00924BC4"/>
    <w:rsid w:val="00927497"/>
    <w:rsid w:val="0093564A"/>
    <w:rsid w:val="00945D01"/>
    <w:rsid w:val="0095119C"/>
    <w:rsid w:val="00962A63"/>
    <w:rsid w:val="009A3BA6"/>
    <w:rsid w:val="009B2590"/>
    <w:rsid w:val="009C053B"/>
    <w:rsid w:val="009E6278"/>
    <w:rsid w:val="009F3714"/>
    <w:rsid w:val="00A022AF"/>
    <w:rsid w:val="00A06A62"/>
    <w:rsid w:val="00A20DA0"/>
    <w:rsid w:val="00A26298"/>
    <w:rsid w:val="00A47783"/>
    <w:rsid w:val="00A662F9"/>
    <w:rsid w:val="00AA5847"/>
    <w:rsid w:val="00AA7D30"/>
    <w:rsid w:val="00AB3A3F"/>
    <w:rsid w:val="00AE180C"/>
    <w:rsid w:val="00B07351"/>
    <w:rsid w:val="00B24C27"/>
    <w:rsid w:val="00B55421"/>
    <w:rsid w:val="00B66D8A"/>
    <w:rsid w:val="00BC410B"/>
    <w:rsid w:val="00BF0528"/>
    <w:rsid w:val="00C31906"/>
    <w:rsid w:val="00C44D3C"/>
    <w:rsid w:val="00C455BD"/>
    <w:rsid w:val="00C65A20"/>
    <w:rsid w:val="00C723D9"/>
    <w:rsid w:val="00C96F13"/>
    <w:rsid w:val="00CA5A08"/>
    <w:rsid w:val="00CC19AE"/>
    <w:rsid w:val="00CC6C7F"/>
    <w:rsid w:val="00CE26DB"/>
    <w:rsid w:val="00D10DF4"/>
    <w:rsid w:val="00D41BC7"/>
    <w:rsid w:val="00D45AA7"/>
    <w:rsid w:val="00D843F3"/>
    <w:rsid w:val="00D86725"/>
    <w:rsid w:val="00D941C1"/>
    <w:rsid w:val="00DB0F52"/>
    <w:rsid w:val="00DD0732"/>
    <w:rsid w:val="00DF3782"/>
    <w:rsid w:val="00E361A8"/>
    <w:rsid w:val="00E421D7"/>
    <w:rsid w:val="00E42385"/>
    <w:rsid w:val="00E53699"/>
    <w:rsid w:val="00E659DD"/>
    <w:rsid w:val="00F00752"/>
    <w:rsid w:val="00F07070"/>
    <w:rsid w:val="00F234A5"/>
    <w:rsid w:val="00F3170A"/>
    <w:rsid w:val="00F46504"/>
    <w:rsid w:val="00F56CF5"/>
    <w:rsid w:val="00F71046"/>
    <w:rsid w:val="00F859A2"/>
    <w:rsid w:val="00FB6354"/>
    <w:rsid w:val="00FB6DA9"/>
    <w:rsid w:val="00FC515D"/>
    <w:rsid w:val="00FF7744"/>
    <w:rsid w:val="02322FC0"/>
    <w:rsid w:val="02780B2F"/>
    <w:rsid w:val="079B0658"/>
    <w:rsid w:val="07C4227D"/>
    <w:rsid w:val="0CCE5073"/>
    <w:rsid w:val="0E9E3BDC"/>
    <w:rsid w:val="101F3C57"/>
    <w:rsid w:val="105E064F"/>
    <w:rsid w:val="1066305F"/>
    <w:rsid w:val="11BF2051"/>
    <w:rsid w:val="154B3473"/>
    <w:rsid w:val="15B02F86"/>
    <w:rsid w:val="19CE05F3"/>
    <w:rsid w:val="1BCE59A7"/>
    <w:rsid w:val="1D5E5630"/>
    <w:rsid w:val="1F9C1D8C"/>
    <w:rsid w:val="20BA3D5C"/>
    <w:rsid w:val="20FE29CD"/>
    <w:rsid w:val="213827F6"/>
    <w:rsid w:val="21AE2F2E"/>
    <w:rsid w:val="24756501"/>
    <w:rsid w:val="256E13CD"/>
    <w:rsid w:val="25B14925"/>
    <w:rsid w:val="25C64082"/>
    <w:rsid w:val="2AF82401"/>
    <w:rsid w:val="2B8F395A"/>
    <w:rsid w:val="2ED96D3E"/>
    <w:rsid w:val="31EF3498"/>
    <w:rsid w:val="32CE2FBA"/>
    <w:rsid w:val="33457B5A"/>
    <w:rsid w:val="33EA0D37"/>
    <w:rsid w:val="395B4E7C"/>
    <w:rsid w:val="3BCC3A5A"/>
    <w:rsid w:val="3C08113A"/>
    <w:rsid w:val="3DC7000C"/>
    <w:rsid w:val="3DFB432B"/>
    <w:rsid w:val="41A60F90"/>
    <w:rsid w:val="437042B4"/>
    <w:rsid w:val="43C95E9E"/>
    <w:rsid w:val="43D25C86"/>
    <w:rsid w:val="476D46F8"/>
    <w:rsid w:val="47FF7E2A"/>
    <w:rsid w:val="49754BD6"/>
    <w:rsid w:val="4A7E5437"/>
    <w:rsid w:val="4B2075EA"/>
    <w:rsid w:val="4B490F32"/>
    <w:rsid w:val="4B564457"/>
    <w:rsid w:val="4C575977"/>
    <w:rsid w:val="4DF30F3A"/>
    <w:rsid w:val="4E8B7C40"/>
    <w:rsid w:val="4F1637A4"/>
    <w:rsid w:val="500F1BD2"/>
    <w:rsid w:val="51C40746"/>
    <w:rsid w:val="528B1AB3"/>
    <w:rsid w:val="54085A12"/>
    <w:rsid w:val="543E6CC0"/>
    <w:rsid w:val="55412274"/>
    <w:rsid w:val="55C03679"/>
    <w:rsid w:val="57C446E9"/>
    <w:rsid w:val="581E0D75"/>
    <w:rsid w:val="58820FB8"/>
    <w:rsid w:val="58EC3F5E"/>
    <w:rsid w:val="5A2E41BB"/>
    <w:rsid w:val="5ABA52A9"/>
    <w:rsid w:val="5C8E01AF"/>
    <w:rsid w:val="5D0E1254"/>
    <w:rsid w:val="60FA12E4"/>
    <w:rsid w:val="62BE6D8B"/>
    <w:rsid w:val="63B56B77"/>
    <w:rsid w:val="64E742EF"/>
    <w:rsid w:val="677A0A3F"/>
    <w:rsid w:val="684B0AD7"/>
    <w:rsid w:val="698536CB"/>
    <w:rsid w:val="69CD39F6"/>
    <w:rsid w:val="6BE40B7D"/>
    <w:rsid w:val="6C814265"/>
    <w:rsid w:val="6E351362"/>
    <w:rsid w:val="6FD64C81"/>
    <w:rsid w:val="739957B4"/>
    <w:rsid w:val="75073918"/>
    <w:rsid w:val="76330BC2"/>
    <w:rsid w:val="771A18F7"/>
    <w:rsid w:val="78931961"/>
    <w:rsid w:val="7B42141C"/>
    <w:rsid w:val="7E991F23"/>
    <w:rsid w:val="7EB5519D"/>
    <w:rsid w:val="C7FEC0F6"/>
    <w:rsid w:val="EED7C18C"/>
    <w:rsid w:val="FBF712DD"/>
    <w:rsid w:val="FFFF6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hint="eastAsia" w:ascii="Times New Roman" w:hAnsi="Times New Roman" w:eastAsia="Times New Roman"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framePr w:wrap="auto" w:vAnchor="text" w:hAnchor="margin" w:xAlign="outside" w:y="1"/>
      <w:tabs>
        <w:tab w:val="center" w:pos="4153"/>
        <w:tab w:val="right" w:pos="8306"/>
      </w:tabs>
      <w:snapToGrid w:val="0"/>
      <w:jc w:val="left"/>
    </w:pPr>
    <w:rPr>
      <w:kern w:val="0"/>
      <w:sz w:val="2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Autospacing="1" w:afterAutospacing="1"/>
      <w:jc w:val="left"/>
    </w:pPr>
    <w:rPr>
      <w:rFonts w:hint="default" w:ascii="Calibri" w:hAnsi="Calibri" w:eastAsia="宋体"/>
      <w:kern w:val="0"/>
      <w:sz w:val="24"/>
    </w:rPr>
  </w:style>
  <w:style w:type="paragraph" w:customStyle="1" w:styleId="9">
    <w:name w:val="列出段落1"/>
    <w:basedOn w:val="1"/>
    <w:unhideWhenUsed/>
    <w:qFormat/>
    <w:uiPriority w:val="34"/>
    <w:pPr>
      <w:ind w:firstLine="420" w:firstLineChars="200"/>
    </w:pPr>
    <w:rPr>
      <w:rFonts w:ascii="仿宋" w:hAnsi="仿宋" w:eastAsia="仿宋"/>
      <w:kern w:val="0"/>
      <w:sz w:val="28"/>
    </w:rPr>
  </w:style>
  <w:style w:type="paragraph" w:styleId="10">
    <w:name w:val="List Paragraph"/>
    <w:basedOn w:val="1"/>
    <w:unhideWhenUsed/>
    <w:qFormat/>
    <w:uiPriority w:val="99"/>
    <w:pPr>
      <w:ind w:firstLine="420" w:firstLineChars="200"/>
    </w:pPr>
    <w:rPr>
      <w:rFonts w:hint="default" w:ascii="Calibri" w:hAnsi="Calibri"/>
      <w:kern w:val="0"/>
      <w:sz w:val="28"/>
    </w:rPr>
  </w:style>
  <w:style w:type="character" w:customStyle="1" w:styleId="11">
    <w:name w:val="页眉 Char"/>
    <w:basedOn w:val="8"/>
    <w:link w:val="5"/>
    <w:qFormat/>
    <w:uiPriority w:val="0"/>
    <w:rPr>
      <w:rFonts w:ascii="Times New Roman" w:hAnsi="Times New Roman" w:eastAsia="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300</Words>
  <Characters>1715</Characters>
  <Lines>14</Lines>
  <Paragraphs>4</Paragraphs>
  <TotalTime>0</TotalTime>
  <ScaleCrop>false</ScaleCrop>
  <LinksUpToDate>false</LinksUpToDate>
  <CharactersWithSpaces>2011</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2023-04-23T07:33:00Z</dcterms:created>
  <dc:creator>海之韵</dc:creator>
  <cp:lastModifiedBy>kylin</cp:lastModifiedBy>
  <dcterms:modified xsi:type="dcterms:W3CDTF">2025-09-15T16:45:59Z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C05C0A58C1B94E6DA3F69BCC80938D65_11</vt:lpwstr>
  </property>
</Properties>
</file>