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40" w:lineRule="exact"/>
        <w:jc w:val="left"/>
        <w:rPr>
          <w:rFonts w:hint="default" w:ascii="黑体" w:hAnsi="黑体" w:eastAsia="黑体" w:cs="黑体"/>
          <w:sz w:val="32"/>
          <w:szCs w:val="32"/>
        </w:rPr>
      </w:pPr>
    </w:p>
    <w:p>
      <w:pPr>
        <w:widowControl/>
        <w:spacing w:line="540" w:lineRule="exact"/>
        <w:jc w:val="left"/>
        <w:rPr>
          <w:rFonts w:hint="default" w:ascii="黑体" w:hAnsi="黑体" w:eastAsia="黑体" w:cs="黑体"/>
          <w:sz w:val="32"/>
          <w:szCs w:val="32"/>
        </w:rPr>
      </w:pPr>
    </w:p>
    <w:p>
      <w:pPr>
        <w:widowControl/>
        <w:spacing w:line="540" w:lineRule="exact"/>
        <w:jc w:val="left"/>
        <w:rPr>
          <w:rFonts w:hint="default" w:ascii="黑体" w:hAnsi="黑体" w:eastAsia="黑体" w:cs="黑体"/>
          <w:sz w:val="32"/>
          <w:szCs w:val="32"/>
        </w:rPr>
      </w:pPr>
    </w:p>
    <w:p>
      <w:pPr>
        <w:widowControl/>
        <w:spacing w:line="540" w:lineRule="exact"/>
        <w:jc w:val="left"/>
        <w:rPr>
          <w:rFonts w:hint="default" w:ascii="仿宋_GB2312" w:hAnsi="仿宋_GB2312" w:eastAsia="仿宋_GB2312" w:cs="仿宋_GB2312"/>
          <w:sz w:val="32"/>
        </w:rPr>
      </w:pPr>
      <w:r>
        <w:rPr>
          <w:rFonts w:ascii="黑体" w:hAnsi="黑体" w:eastAsia="黑体" w:cs="黑体"/>
          <w:sz w:val="32"/>
          <w:szCs w:val="32"/>
        </w:rPr>
        <w:t>附件1</w:t>
      </w:r>
    </w:p>
    <w:p>
      <w:pPr>
        <w:jc w:val="center"/>
        <w:outlineLvl w:val="1"/>
        <w:rPr>
          <w:rFonts w:hint="default" w:ascii="方正小标宋简体" w:eastAsia="方正小标宋简体"/>
          <w:sz w:val="52"/>
        </w:rPr>
      </w:pPr>
      <w:r>
        <w:rPr>
          <w:rFonts w:ascii="方正小标宋简体" w:eastAsia="方正小标宋简体"/>
          <w:sz w:val="52"/>
        </w:rPr>
        <w:t>2024年度双牌县市场监督管理局</w:t>
      </w:r>
    </w:p>
    <w:p>
      <w:pPr>
        <w:jc w:val="center"/>
        <w:outlineLvl w:val="1"/>
        <w:rPr>
          <w:rFonts w:hint="default" w:ascii="方正小标宋简体" w:eastAsia="方正小标宋简体"/>
          <w:sz w:val="52"/>
        </w:rPr>
      </w:pPr>
      <w:r>
        <w:rPr>
          <w:rFonts w:ascii="方正小标宋简体" w:eastAsia="方正小标宋简体"/>
          <w:sz w:val="52"/>
        </w:rPr>
        <w:t>整体支出绩效自评报告</w:t>
      </w:r>
    </w:p>
    <w:p>
      <w:pPr>
        <w:jc w:val="center"/>
        <w:rPr>
          <w:rFonts w:hint="default" w:eastAsia="黑体"/>
          <w:sz w:val="32"/>
        </w:rPr>
      </w:pPr>
    </w:p>
    <w:p>
      <w:pPr>
        <w:jc w:val="center"/>
        <w:rPr>
          <w:rFonts w:hint="default" w:eastAsia="黑体"/>
          <w:sz w:val="32"/>
        </w:rPr>
      </w:pPr>
    </w:p>
    <w:p>
      <w:pPr>
        <w:jc w:val="center"/>
        <w:rPr>
          <w:rFonts w:hint="default" w:eastAsia="黑体"/>
          <w:sz w:val="32"/>
        </w:rPr>
      </w:pPr>
    </w:p>
    <w:p>
      <w:pPr>
        <w:rPr>
          <w:rFonts w:hint="default" w:eastAsia="黑体"/>
          <w:sz w:val="32"/>
        </w:rPr>
      </w:pPr>
    </w:p>
    <w:p>
      <w:pPr>
        <w:jc w:val="center"/>
        <w:rPr>
          <w:rFonts w:hint="default" w:eastAsia="黑体"/>
          <w:sz w:val="32"/>
        </w:rPr>
      </w:pPr>
    </w:p>
    <w:p>
      <w:pPr>
        <w:jc w:val="center"/>
        <w:rPr>
          <w:rFonts w:hint="default" w:eastAsia="黑体"/>
          <w:sz w:val="32"/>
        </w:rPr>
      </w:pPr>
    </w:p>
    <w:p>
      <w:pPr>
        <w:jc w:val="center"/>
        <w:rPr>
          <w:rFonts w:hint="default" w:eastAsia="黑体"/>
          <w:sz w:val="32"/>
        </w:rPr>
      </w:pPr>
    </w:p>
    <w:p>
      <w:pPr>
        <w:spacing w:line="600" w:lineRule="exact"/>
        <w:ind w:firstLine="640" w:firstLineChars="200"/>
        <w:rPr>
          <w:rFonts w:hint="default" w:eastAsia="仿宋_GB2312"/>
          <w:sz w:val="32"/>
          <w:u w:val="single"/>
        </w:rPr>
      </w:pPr>
      <w:r>
        <w:rPr>
          <w:rFonts w:eastAsia="仿宋_GB2312"/>
          <w:sz w:val="32"/>
        </w:rPr>
        <w:t>单位名称（盖章）：</w:t>
      </w:r>
      <w:r>
        <w:rPr>
          <w:rFonts w:eastAsia="仿宋_GB2312"/>
          <w:sz w:val="32"/>
          <w:u w:val="single"/>
        </w:rPr>
        <w:t>双牌县市场监督管理局</w:t>
      </w:r>
    </w:p>
    <w:p>
      <w:pPr>
        <w:spacing w:line="600" w:lineRule="exact"/>
        <w:ind w:firstLine="3200" w:firstLineChars="1000"/>
        <w:rPr>
          <w:rFonts w:hint="default" w:eastAsia="楷体_GB2312"/>
          <w:sz w:val="32"/>
        </w:rPr>
      </w:pPr>
    </w:p>
    <w:p>
      <w:pPr>
        <w:spacing w:line="600" w:lineRule="exact"/>
        <w:ind w:firstLine="3200" w:firstLineChars="1000"/>
        <w:rPr>
          <w:rFonts w:hint="default" w:eastAsia="楷体_GB2312"/>
          <w:sz w:val="32"/>
        </w:rPr>
      </w:pPr>
      <w:r>
        <w:rPr>
          <w:rFonts w:eastAsia="楷体_GB2312"/>
          <w:sz w:val="32"/>
        </w:rPr>
        <w:t>2025年6月17日</w:t>
      </w:r>
    </w:p>
    <w:p>
      <w:pPr>
        <w:jc w:val="center"/>
        <w:rPr>
          <w:rFonts w:hint="default" w:eastAsia="黑体"/>
          <w:sz w:val="32"/>
        </w:rPr>
      </w:pPr>
    </w:p>
    <w:p>
      <w:pPr>
        <w:jc w:val="center"/>
        <w:outlineLvl w:val="0"/>
        <w:rPr>
          <w:rFonts w:hint="default" w:eastAsia="仿宋_GB2312"/>
          <w:sz w:val="32"/>
        </w:rPr>
      </w:pPr>
      <w:r>
        <w:rPr>
          <w:rFonts w:eastAsia="仿宋_GB2312"/>
          <w:sz w:val="32"/>
        </w:rPr>
        <w:t>（此页为封面）</w:t>
      </w:r>
    </w:p>
    <w:p>
      <w:pPr>
        <w:numPr>
          <w:ilvl w:val="0"/>
          <w:numId w:val="1"/>
        </w:numPr>
        <w:spacing w:line="570" w:lineRule="exact"/>
        <w:outlineLvl w:val="0"/>
        <w:rPr>
          <w:rFonts w:hint="default" w:eastAsia="黑体"/>
          <w:sz w:val="32"/>
        </w:rPr>
      </w:pPr>
      <w:r>
        <w:rPr>
          <w:rFonts w:hint="default" w:eastAsia="仿宋_GB2312"/>
          <w:sz w:val="32"/>
        </w:rPr>
        <w:br w:type="page"/>
      </w:r>
      <w:r>
        <w:rPr>
          <w:rFonts w:eastAsia="黑体"/>
          <w:sz w:val="32"/>
        </w:rPr>
        <w:t>部门（单位）基本情况</w:t>
      </w:r>
    </w:p>
    <w:p>
      <w:pPr>
        <w:numPr>
          <w:ilvl w:val="0"/>
          <w:numId w:val="2"/>
        </w:numPr>
        <w:shd w:val="clear" w:color="auto" w:fill="FFFFFF"/>
        <w:spacing w:line="570" w:lineRule="exact"/>
        <w:ind w:firstLine="640" w:firstLineChars="200"/>
        <w:outlineLvl w:val="1"/>
        <w:rPr>
          <w:rFonts w:hint="default" w:ascii="仿宋_GB2312" w:eastAsia="仿宋_GB2312"/>
          <w:sz w:val="32"/>
        </w:rPr>
      </w:pPr>
      <w:r>
        <w:rPr>
          <w:rFonts w:ascii="仿宋_GB2312" w:eastAsia="仿宋_GB2312"/>
          <w:sz w:val="32"/>
        </w:rPr>
        <w:t>部门（单位）职能职责、机构编制、人员构成等。</w:t>
      </w:r>
    </w:p>
    <w:p>
      <w:pPr>
        <w:snapToGrid w:val="0"/>
        <w:spacing w:line="520" w:lineRule="exact"/>
        <w:ind w:firstLine="960" w:firstLineChars="300"/>
        <w:rPr>
          <w:rFonts w:hint="default" w:ascii="仿宋_GB2312" w:hAnsi="仿宋" w:eastAsia="仿宋_GB2312"/>
          <w:sz w:val="32"/>
          <w:szCs w:val="32"/>
        </w:rPr>
      </w:pPr>
      <w:r>
        <w:rPr>
          <w:rFonts w:ascii="仿宋_GB2312" w:hAnsi="仿宋" w:eastAsia="仿宋_GB2312"/>
          <w:sz w:val="32"/>
          <w:szCs w:val="32"/>
        </w:rPr>
        <w:t>1．主要职能。</w:t>
      </w:r>
    </w:p>
    <w:p>
      <w:pPr>
        <w:snapToGrid w:val="0"/>
        <w:spacing w:line="520" w:lineRule="exact"/>
        <w:ind w:firstLine="640" w:firstLineChars="200"/>
        <w:rPr>
          <w:rFonts w:hint="default" w:ascii="仿宋_GB2312" w:hAnsi="仿宋" w:eastAsia="仿宋_GB2312"/>
          <w:sz w:val="32"/>
          <w:szCs w:val="32"/>
        </w:rPr>
      </w:pPr>
      <w:r>
        <w:rPr>
          <w:rFonts w:ascii="仿宋_GB2312" w:hAnsi="仿宋" w:eastAsia="仿宋_GB2312"/>
          <w:sz w:val="32"/>
          <w:szCs w:val="32"/>
        </w:rPr>
        <w:t>（1）负责市场综合监督管理</w:t>
      </w:r>
    </w:p>
    <w:p>
      <w:pPr>
        <w:snapToGrid w:val="0"/>
        <w:spacing w:line="520" w:lineRule="exact"/>
        <w:ind w:firstLine="640" w:firstLineChars="200"/>
        <w:rPr>
          <w:rFonts w:hint="default" w:ascii="仿宋_GB2312" w:hAnsi="仿宋" w:eastAsia="仿宋_GB2312"/>
          <w:sz w:val="32"/>
          <w:szCs w:val="32"/>
        </w:rPr>
      </w:pPr>
      <w:r>
        <w:rPr>
          <w:rFonts w:ascii="仿宋_GB2312" w:hAnsi="仿宋" w:eastAsia="仿宋_GB2312"/>
          <w:sz w:val="32"/>
          <w:szCs w:val="32"/>
        </w:rPr>
        <w:t>（2）负责市场主体统一登记注册</w:t>
      </w:r>
    </w:p>
    <w:p>
      <w:pPr>
        <w:snapToGrid w:val="0"/>
        <w:spacing w:line="520" w:lineRule="exact"/>
        <w:ind w:firstLine="640" w:firstLineChars="200"/>
        <w:rPr>
          <w:rFonts w:hint="default" w:ascii="仿宋_GB2312" w:hAnsi="仿宋" w:eastAsia="仿宋_GB2312"/>
          <w:sz w:val="32"/>
          <w:szCs w:val="32"/>
        </w:rPr>
      </w:pPr>
      <w:r>
        <w:rPr>
          <w:rFonts w:ascii="仿宋_GB2312" w:hAnsi="仿宋" w:eastAsia="仿宋_GB2312"/>
          <w:sz w:val="32"/>
          <w:szCs w:val="32"/>
        </w:rPr>
        <w:t>（3）负责权限范围内食品、药品、医疗器械、化妆品、特种设备、计量器具的许可管理</w:t>
      </w:r>
    </w:p>
    <w:p>
      <w:pPr>
        <w:snapToGrid w:val="0"/>
        <w:spacing w:line="520" w:lineRule="exact"/>
        <w:ind w:firstLine="640" w:firstLineChars="200"/>
        <w:rPr>
          <w:rFonts w:hint="default" w:ascii="仿宋_GB2312" w:hAnsi="仿宋" w:eastAsia="仿宋_GB2312"/>
          <w:sz w:val="32"/>
          <w:szCs w:val="32"/>
        </w:rPr>
      </w:pPr>
      <w:r>
        <w:rPr>
          <w:rFonts w:ascii="仿宋_GB2312" w:hAnsi="仿宋" w:eastAsia="仿宋_GB2312"/>
          <w:sz w:val="32"/>
          <w:szCs w:val="32"/>
        </w:rPr>
        <w:t>（4）负责组织和指导市场监管综合执法工作</w:t>
      </w:r>
    </w:p>
    <w:p>
      <w:pPr>
        <w:snapToGrid w:val="0"/>
        <w:spacing w:line="520" w:lineRule="exact"/>
        <w:ind w:firstLine="640" w:firstLineChars="200"/>
        <w:rPr>
          <w:rFonts w:hint="default" w:ascii="仿宋_GB2312" w:hAnsi="仿宋" w:eastAsia="仿宋_GB2312"/>
          <w:sz w:val="32"/>
          <w:szCs w:val="32"/>
        </w:rPr>
      </w:pPr>
      <w:r>
        <w:rPr>
          <w:rFonts w:ascii="仿宋_GB2312" w:hAnsi="仿宋" w:eastAsia="仿宋_GB2312"/>
          <w:sz w:val="32"/>
          <w:szCs w:val="32"/>
        </w:rPr>
        <w:t>（5）根据授权负责反垄断统一执法</w:t>
      </w:r>
    </w:p>
    <w:p>
      <w:pPr>
        <w:snapToGrid w:val="0"/>
        <w:spacing w:line="520" w:lineRule="exact"/>
        <w:ind w:firstLine="640" w:firstLineChars="200"/>
        <w:rPr>
          <w:rFonts w:hint="default" w:ascii="仿宋_GB2312" w:hAnsi="仿宋" w:eastAsia="仿宋_GB2312"/>
          <w:sz w:val="32"/>
          <w:szCs w:val="32"/>
        </w:rPr>
      </w:pPr>
      <w:r>
        <w:rPr>
          <w:rFonts w:ascii="仿宋_GB2312" w:hAnsi="仿宋" w:eastAsia="仿宋_GB2312"/>
          <w:sz w:val="32"/>
          <w:szCs w:val="32"/>
        </w:rPr>
        <w:t>（6）负责监督管理市场秩序</w:t>
      </w:r>
    </w:p>
    <w:p>
      <w:pPr>
        <w:snapToGrid w:val="0"/>
        <w:spacing w:line="520" w:lineRule="exact"/>
        <w:ind w:firstLine="640" w:firstLineChars="200"/>
        <w:rPr>
          <w:rFonts w:hint="default" w:ascii="仿宋_GB2312" w:hAnsi="仿宋" w:eastAsia="仿宋_GB2312"/>
          <w:sz w:val="32"/>
          <w:szCs w:val="32"/>
        </w:rPr>
      </w:pPr>
      <w:r>
        <w:rPr>
          <w:rFonts w:ascii="仿宋_GB2312" w:hAnsi="仿宋" w:eastAsia="仿宋_GB2312"/>
          <w:sz w:val="32"/>
          <w:szCs w:val="32"/>
        </w:rPr>
        <w:t>（7）负责宏观质量管理</w:t>
      </w:r>
    </w:p>
    <w:p>
      <w:pPr>
        <w:snapToGrid w:val="0"/>
        <w:spacing w:line="520" w:lineRule="exact"/>
        <w:ind w:firstLine="640" w:firstLineChars="200"/>
        <w:rPr>
          <w:rFonts w:hint="default" w:ascii="仿宋_GB2312" w:hAnsi="仿宋" w:eastAsia="仿宋_GB2312"/>
          <w:sz w:val="32"/>
          <w:szCs w:val="32"/>
        </w:rPr>
      </w:pPr>
      <w:r>
        <w:rPr>
          <w:rFonts w:ascii="仿宋_GB2312" w:hAnsi="仿宋" w:eastAsia="仿宋_GB2312"/>
          <w:sz w:val="32"/>
          <w:szCs w:val="32"/>
        </w:rPr>
        <w:t>（8）负责产品质量安全监督管理</w:t>
      </w:r>
    </w:p>
    <w:p>
      <w:pPr>
        <w:snapToGrid w:val="0"/>
        <w:spacing w:line="520" w:lineRule="exact"/>
        <w:ind w:firstLine="640" w:firstLineChars="200"/>
        <w:rPr>
          <w:rFonts w:hint="default" w:ascii="仿宋_GB2312" w:hAnsi="仿宋" w:eastAsia="仿宋_GB2312"/>
          <w:sz w:val="32"/>
          <w:szCs w:val="32"/>
        </w:rPr>
      </w:pPr>
      <w:r>
        <w:rPr>
          <w:rFonts w:ascii="仿宋_GB2312" w:hAnsi="仿宋" w:eastAsia="仿宋_GB2312"/>
          <w:sz w:val="32"/>
          <w:szCs w:val="32"/>
        </w:rPr>
        <w:t>（9）负责特种设备安全监督管理</w:t>
      </w:r>
    </w:p>
    <w:p>
      <w:pPr>
        <w:snapToGrid w:val="0"/>
        <w:spacing w:line="520" w:lineRule="exact"/>
        <w:ind w:firstLine="640" w:firstLineChars="200"/>
        <w:rPr>
          <w:rFonts w:hint="default" w:ascii="仿宋_GB2312" w:hAnsi="仿宋" w:eastAsia="仿宋_GB2312"/>
          <w:sz w:val="32"/>
          <w:szCs w:val="32"/>
        </w:rPr>
      </w:pPr>
      <w:r>
        <w:rPr>
          <w:rFonts w:ascii="仿宋_GB2312" w:hAnsi="仿宋" w:eastAsia="仿宋_GB2312"/>
          <w:sz w:val="32"/>
          <w:szCs w:val="32"/>
        </w:rPr>
        <w:t>（10）负责食品安全监督管理综合协调</w:t>
      </w:r>
    </w:p>
    <w:p>
      <w:pPr>
        <w:snapToGrid w:val="0"/>
        <w:spacing w:line="520" w:lineRule="exact"/>
        <w:ind w:firstLine="640" w:firstLineChars="200"/>
        <w:rPr>
          <w:rFonts w:hint="default" w:ascii="仿宋_GB2312" w:hAnsi="仿宋" w:eastAsia="仿宋_GB2312"/>
          <w:sz w:val="32"/>
          <w:szCs w:val="32"/>
        </w:rPr>
      </w:pPr>
      <w:r>
        <w:rPr>
          <w:rFonts w:ascii="仿宋_GB2312" w:hAnsi="仿宋" w:eastAsia="仿宋_GB2312"/>
          <w:sz w:val="32"/>
          <w:szCs w:val="32"/>
        </w:rPr>
        <w:t>（11） 负责食品安全监督管理</w:t>
      </w:r>
    </w:p>
    <w:p>
      <w:pPr>
        <w:snapToGrid w:val="0"/>
        <w:spacing w:line="520" w:lineRule="exact"/>
        <w:ind w:firstLine="640" w:firstLineChars="200"/>
        <w:rPr>
          <w:rFonts w:hint="default" w:ascii="仿宋_GB2312" w:hAnsi="仿宋" w:eastAsia="仿宋_GB2312"/>
          <w:sz w:val="32"/>
          <w:szCs w:val="32"/>
        </w:rPr>
      </w:pPr>
      <w:r>
        <w:rPr>
          <w:rFonts w:ascii="仿宋_GB2312" w:hAnsi="仿宋" w:eastAsia="仿宋_GB2312"/>
          <w:sz w:val="32"/>
          <w:szCs w:val="32"/>
        </w:rPr>
        <w:t>（12）负责统一管理计量工作</w:t>
      </w:r>
    </w:p>
    <w:p>
      <w:pPr>
        <w:snapToGrid w:val="0"/>
        <w:spacing w:line="520" w:lineRule="exact"/>
        <w:ind w:firstLine="640" w:firstLineChars="200"/>
        <w:rPr>
          <w:rFonts w:hint="default" w:ascii="仿宋_GB2312" w:hAnsi="仿宋" w:eastAsia="仿宋_GB2312"/>
          <w:sz w:val="32"/>
          <w:szCs w:val="32"/>
        </w:rPr>
      </w:pPr>
      <w:r>
        <w:rPr>
          <w:rFonts w:ascii="仿宋_GB2312" w:hAnsi="仿宋" w:eastAsia="仿宋_GB2312"/>
          <w:sz w:val="32"/>
          <w:szCs w:val="32"/>
        </w:rPr>
        <w:t>（13）负责统一管理标准化工作</w:t>
      </w:r>
    </w:p>
    <w:p>
      <w:pPr>
        <w:snapToGrid w:val="0"/>
        <w:spacing w:line="520" w:lineRule="exact"/>
        <w:ind w:firstLine="640" w:firstLineChars="200"/>
        <w:rPr>
          <w:rFonts w:hint="default" w:ascii="仿宋_GB2312" w:hAnsi="仿宋" w:eastAsia="仿宋_GB2312"/>
          <w:sz w:val="32"/>
          <w:szCs w:val="32"/>
        </w:rPr>
      </w:pPr>
      <w:r>
        <w:rPr>
          <w:rFonts w:ascii="仿宋_GB2312" w:hAnsi="仿宋" w:eastAsia="仿宋_GB2312"/>
          <w:sz w:val="32"/>
          <w:szCs w:val="32"/>
        </w:rPr>
        <w:t>（14）负责统一管理检验检测工作</w:t>
      </w:r>
    </w:p>
    <w:p>
      <w:pPr>
        <w:snapToGrid w:val="0"/>
        <w:spacing w:line="520" w:lineRule="exact"/>
        <w:ind w:firstLine="640" w:firstLineChars="200"/>
        <w:rPr>
          <w:rFonts w:hint="default" w:ascii="仿宋_GB2312" w:hAnsi="仿宋" w:eastAsia="仿宋_GB2312"/>
          <w:sz w:val="32"/>
          <w:szCs w:val="32"/>
        </w:rPr>
      </w:pPr>
      <w:r>
        <w:rPr>
          <w:rFonts w:ascii="仿宋_GB2312" w:hAnsi="仿宋" w:eastAsia="仿宋_GB2312"/>
          <w:sz w:val="32"/>
          <w:szCs w:val="32"/>
        </w:rPr>
        <w:t>（15） 负责统一管理、监督和综合协调全县认证认可工作</w:t>
      </w:r>
    </w:p>
    <w:p>
      <w:pPr>
        <w:snapToGrid w:val="0"/>
        <w:spacing w:line="520" w:lineRule="exact"/>
        <w:ind w:firstLine="640" w:firstLineChars="200"/>
        <w:rPr>
          <w:rFonts w:hint="default" w:ascii="仿宋_GB2312" w:hAnsi="仿宋" w:eastAsia="仿宋_GB2312"/>
          <w:sz w:val="32"/>
          <w:szCs w:val="32"/>
        </w:rPr>
      </w:pPr>
      <w:r>
        <w:rPr>
          <w:rFonts w:ascii="仿宋_GB2312" w:hAnsi="仿宋" w:eastAsia="仿宋_GB2312"/>
          <w:sz w:val="32"/>
          <w:szCs w:val="32"/>
        </w:rPr>
        <w:t>（16）负责市场监督管理、知识产权领域科技和信息化建设、新闻宣传、对外交流与合作</w:t>
      </w:r>
    </w:p>
    <w:p>
      <w:pPr>
        <w:snapToGrid w:val="0"/>
        <w:spacing w:line="520" w:lineRule="exact"/>
        <w:ind w:firstLine="640" w:firstLineChars="200"/>
        <w:rPr>
          <w:rFonts w:hint="default" w:ascii="仿宋_GB2312" w:hAnsi="仿宋" w:eastAsia="仿宋_GB2312"/>
          <w:sz w:val="32"/>
          <w:szCs w:val="32"/>
        </w:rPr>
      </w:pPr>
      <w:r>
        <w:rPr>
          <w:rFonts w:ascii="仿宋_GB2312" w:hAnsi="仿宋" w:eastAsia="仿宋_GB2312"/>
          <w:sz w:val="32"/>
          <w:szCs w:val="32"/>
        </w:rPr>
        <w:t>（17）负责实施知识产权战略，推进知识产权强县建设</w:t>
      </w:r>
    </w:p>
    <w:p>
      <w:pPr>
        <w:snapToGrid w:val="0"/>
        <w:spacing w:line="520" w:lineRule="exact"/>
        <w:ind w:firstLine="640" w:firstLineChars="200"/>
        <w:rPr>
          <w:rFonts w:hint="default" w:ascii="仿宋_GB2312" w:hAnsi="仿宋" w:eastAsia="仿宋_GB2312"/>
          <w:sz w:val="32"/>
          <w:szCs w:val="32"/>
        </w:rPr>
      </w:pPr>
      <w:r>
        <w:rPr>
          <w:rFonts w:ascii="仿宋_GB2312" w:hAnsi="仿宋" w:eastAsia="仿宋_GB2312"/>
          <w:sz w:val="32"/>
          <w:szCs w:val="32"/>
        </w:rPr>
        <w:t>（18）负责保护知识产权</w:t>
      </w:r>
    </w:p>
    <w:p>
      <w:pPr>
        <w:snapToGrid w:val="0"/>
        <w:spacing w:line="520" w:lineRule="exact"/>
        <w:ind w:firstLine="640" w:firstLineChars="200"/>
        <w:rPr>
          <w:rFonts w:hint="default" w:ascii="仿宋_GB2312" w:hAnsi="仿宋" w:eastAsia="仿宋_GB2312"/>
          <w:sz w:val="32"/>
          <w:szCs w:val="32"/>
        </w:rPr>
      </w:pPr>
      <w:r>
        <w:rPr>
          <w:rFonts w:ascii="仿宋_GB2312" w:hAnsi="仿宋" w:eastAsia="仿宋_GB2312"/>
          <w:sz w:val="32"/>
          <w:szCs w:val="32"/>
        </w:rPr>
        <w:t>（19）负责知识产权创造运用</w:t>
      </w:r>
    </w:p>
    <w:p>
      <w:pPr>
        <w:snapToGrid w:val="0"/>
        <w:spacing w:line="520" w:lineRule="exact"/>
        <w:ind w:firstLine="640" w:firstLineChars="200"/>
        <w:rPr>
          <w:rFonts w:hint="default" w:ascii="仿宋_GB2312" w:hAnsi="仿宋" w:eastAsia="仿宋_GB2312"/>
          <w:sz w:val="32"/>
          <w:szCs w:val="32"/>
        </w:rPr>
      </w:pPr>
      <w:r>
        <w:rPr>
          <w:rFonts w:ascii="仿宋_GB2312" w:hAnsi="仿宋" w:eastAsia="仿宋_GB2312"/>
          <w:sz w:val="32"/>
          <w:szCs w:val="32"/>
        </w:rPr>
        <w:t>（20）负责组织开展有关服务领域消费维权工作，查处制售假冒伪劣等违法行为</w:t>
      </w:r>
    </w:p>
    <w:p>
      <w:pPr>
        <w:snapToGrid w:val="0"/>
        <w:spacing w:line="520" w:lineRule="exact"/>
        <w:ind w:firstLine="640" w:firstLineChars="200"/>
        <w:rPr>
          <w:rFonts w:hint="default" w:ascii="仿宋_GB2312" w:hAnsi="仿宋" w:eastAsia="仿宋_GB2312"/>
          <w:sz w:val="32"/>
          <w:szCs w:val="32"/>
        </w:rPr>
      </w:pPr>
      <w:r>
        <w:rPr>
          <w:rFonts w:ascii="仿宋_GB2312" w:hAnsi="仿宋" w:eastAsia="仿宋_GB2312"/>
          <w:sz w:val="32"/>
          <w:szCs w:val="32"/>
        </w:rPr>
        <w:t>（21）负责指导消费者咨询、申诉、举报受理、处理和网络体系建设等工作，保护经营者、消费者合法权益</w:t>
      </w:r>
    </w:p>
    <w:p>
      <w:pPr>
        <w:snapToGrid w:val="0"/>
        <w:spacing w:line="520" w:lineRule="exact"/>
        <w:ind w:firstLine="640" w:firstLineChars="200"/>
        <w:rPr>
          <w:rFonts w:hint="default" w:ascii="仿宋_GB2312" w:hAnsi="仿宋" w:eastAsia="仿宋_GB2312"/>
          <w:sz w:val="32"/>
          <w:szCs w:val="32"/>
        </w:rPr>
      </w:pPr>
      <w:r>
        <w:rPr>
          <w:rFonts w:ascii="仿宋_GB2312" w:hAnsi="仿宋" w:eastAsia="仿宋_GB2312"/>
          <w:sz w:val="32"/>
          <w:szCs w:val="32"/>
        </w:rPr>
        <w:t>（22）负责职责范围内的药品、医疗器械和化妆品的质量管理</w:t>
      </w:r>
    </w:p>
    <w:p>
      <w:pPr>
        <w:snapToGrid w:val="0"/>
        <w:spacing w:line="520" w:lineRule="exact"/>
        <w:ind w:firstLine="640" w:firstLineChars="200"/>
        <w:rPr>
          <w:rFonts w:hint="default" w:ascii="仿宋_GB2312" w:hAnsi="仿宋" w:eastAsia="仿宋_GB2312"/>
          <w:sz w:val="32"/>
          <w:szCs w:val="32"/>
        </w:rPr>
      </w:pPr>
      <w:r>
        <w:rPr>
          <w:rFonts w:ascii="仿宋_GB2312" w:hAnsi="仿宋" w:eastAsia="仿宋_GB2312"/>
          <w:sz w:val="32"/>
          <w:szCs w:val="32"/>
        </w:rPr>
        <w:t>（23）负责职责范围内药品、医疗器械和化妆品上市后风险管理</w:t>
      </w:r>
    </w:p>
    <w:p>
      <w:pPr>
        <w:snapToGrid w:val="0"/>
        <w:spacing w:line="520" w:lineRule="exact"/>
        <w:ind w:firstLine="640" w:firstLineChars="200"/>
        <w:rPr>
          <w:rFonts w:hint="default" w:ascii="仿宋_GB2312" w:hAnsi="仿宋" w:eastAsia="仿宋_GB2312"/>
          <w:sz w:val="32"/>
          <w:szCs w:val="32"/>
        </w:rPr>
      </w:pPr>
      <w:r>
        <w:rPr>
          <w:rFonts w:ascii="仿宋_GB2312" w:hAnsi="仿宋" w:eastAsia="仿宋_GB2312"/>
          <w:sz w:val="32"/>
          <w:szCs w:val="32"/>
        </w:rPr>
        <w:t>（24）负责组织实施职责范围内药品、医疗器械和化妆品监督检查</w:t>
      </w:r>
    </w:p>
    <w:p>
      <w:pPr>
        <w:snapToGrid w:val="0"/>
        <w:spacing w:line="520" w:lineRule="exact"/>
        <w:ind w:firstLine="640" w:firstLineChars="200"/>
        <w:rPr>
          <w:rFonts w:hint="default" w:ascii="仿宋_GB2312" w:hAnsi="仿宋" w:eastAsia="仿宋_GB2312"/>
          <w:sz w:val="32"/>
          <w:szCs w:val="32"/>
        </w:rPr>
      </w:pPr>
      <w:r>
        <w:rPr>
          <w:rFonts w:ascii="仿宋_GB2312" w:hAnsi="仿宋" w:eastAsia="仿宋_GB2312"/>
          <w:sz w:val="32"/>
          <w:szCs w:val="32"/>
        </w:rPr>
        <w:t>（25）负责县委组织部门安排的小微企业、个体工商户、专业市场的党建工作，指导全县相关工作</w:t>
      </w:r>
    </w:p>
    <w:p>
      <w:pPr>
        <w:snapToGrid w:val="0"/>
        <w:spacing w:line="520" w:lineRule="exact"/>
        <w:ind w:firstLine="640" w:firstLineChars="200"/>
        <w:rPr>
          <w:rFonts w:hint="default" w:ascii="仿宋_GB2312" w:hAnsi="仿宋" w:eastAsia="仿宋_GB2312"/>
          <w:sz w:val="32"/>
          <w:szCs w:val="32"/>
        </w:rPr>
      </w:pPr>
      <w:r>
        <w:rPr>
          <w:rFonts w:ascii="仿宋_GB2312" w:hAnsi="仿宋" w:eastAsia="仿宋_GB2312"/>
          <w:sz w:val="32"/>
          <w:szCs w:val="32"/>
        </w:rPr>
        <w:t>（26）完成县委、县政府交办的其他任务</w:t>
      </w:r>
    </w:p>
    <w:p>
      <w:pPr>
        <w:spacing w:beforeAutospacing="1"/>
        <w:ind w:firstLine="640" w:firstLineChars="200"/>
        <w:rPr>
          <w:rFonts w:hint="default" w:ascii="仿宋_GB2312" w:hAnsi="仿宋" w:eastAsia="仿宋_GB2312"/>
          <w:sz w:val="32"/>
          <w:szCs w:val="32"/>
        </w:rPr>
      </w:pPr>
      <w:r>
        <w:rPr>
          <w:rFonts w:ascii="仿宋_GB2312" w:hAnsi="仿宋" w:eastAsia="仿宋_GB2312"/>
          <w:sz w:val="32"/>
          <w:szCs w:val="32"/>
        </w:rPr>
        <w:t>2.机构编制、人员构成</w:t>
      </w:r>
    </w:p>
    <w:p>
      <w:pPr>
        <w:spacing w:line="570" w:lineRule="exact"/>
        <w:ind w:firstLine="640" w:firstLineChars="200"/>
        <w:outlineLvl w:val="1"/>
        <w:rPr>
          <w:rFonts w:hint="default" w:ascii="仿宋_GB2312" w:hAnsi="仿宋_GB2312" w:eastAsia="仿宋_GB2312" w:cs="Times New Roman"/>
          <w:sz w:val="32"/>
          <w:szCs w:val="32"/>
        </w:rPr>
      </w:pPr>
      <w:r>
        <w:rPr>
          <w:rFonts w:ascii="仿宋_GB2312" w:hAnsi="仿宋_GB2312" w:eastAsia="仿宋_GB2312" w:cs="Times New Roman"/>
          <w:sz w:val="32"/>
          <w:szCs w:val="32"/>
        </w:rPr>
        <w:t>本单位属县人民政府组成部门，为正科级行政单位，在职在编人员78人，其中：行政编制31人、事业编制47人。人员编制人数160人，在编实有车辆5辆，退休人员52人。</w:t>
      </w:r>
    </w:p>
    <w:p>
      <w:pPr>
        <w:numPr>
          <w:ilvl w:val="0"/>
          <w:numId w:val="2"/>
        </w:numPr>
        <w:spacing w:line="570" w:lineRule="exact"/>
        <w:ind w:firstLine="640" w:firstLineChars="200"/>
        <w:outlineLvl w:val="1"/>
        <w:rPr>
          <w:rFonts w:hint="default" w:eastAsia="仿宋_GB2312"/>
          <w:color w:val="000000"/>
          <w:sz w:val="32"/>
        </w:rPr>
      </w:pPr>
      <w:r>
        <w:rPr>
          <w:rFonts w:ascii="仿宋_GB2312" w:eastAsia="仿宋_GB2312"/>
          <w:sz w:val="32"/>
        </w:rPr>
        <w:t>部门（单位）整体支出规模</w:t>
      </w:r>
      <w:r>
        <w:rPr>
          <w:rFonts w:ascii="仿宋_GB2312" w:hAnsi="仿宋_GB2312" w:eastAsia="仿宋_GB2312" w:cs="仿宋_GB2312"/>
          <w:sz w:val="32"/>
          <w:szCs w:val="32"/>
        </w:rPr>
        <w:t>，</w:t>
      </w:r>
      <w:r>
        <w:rPr>
          <w:rFonts w:eastAsia="仿宋_GB2312"/>
          <w:color w:val="000000"/>
          <w:sz w:val="32"/>
        </w:rPr>
        <w:t>包括但不限于部门整体支出情况、部门预算收支决算情况及“三公经费”支出使用和管理情况。</w:t>
      </w:r>
    </w:p>
    <w:p>
      <w:pPr>
        <w:pStyle w:val="2"/>
        <w:ind w:left="420" w:firstLine="0" w:firstLineChars="0"/>
        <w:rPr>
          <w:rFonts w:hint="default" w:ascii="仿宋_GB2312" w:hAnsi="仿宋_GB2312" w:eastAsia="仿宋_GB2312" w:cs="Times New Roman"/>
          <w:sz w:val="32"/>
          <w:szCs w:val="32"/>
        </w:rPr>
      </w:pPr>
      <w:r>
        <w:rPr>
          <w:rFonts w:ascii="仿宋_GB2312" w:hAnsi="仿宋_GB2312" w:eastAsia="仿宋_GB2312" w:cs="Times New Roman"/>
          <w:sz w:val="32"/>
          <w:szCs w:val="32"/>
        </w:rPr>
        <w:t>2024年公共预算财政拨款支出1332.34万元,其中：基本支出</w:t>
      </w:r>
      <w:r>
        <w:rPr>
          <w:rFonts w:ascii="Segoe UI" w:hAnsi="Segoe UI" w:eastAsia="Segoe UI" w:cs="Segoe UI"/>
          <w:color w:val="000000"/>
          <w:sz w:val="28"/>
          <w:szCs w:val="28"/>
          <w:shd w:val="clear" w:color="auto" w:fill="FFFFFF"/>
        </w:rPr>
        <w:t>1010.92</w:t>
      </w:r>
      <w:r>
        <w:rPr>
          <w:rFonts w:ascii="仿宋_GB2312" w:hAnsi="仿宋_GB2312" w:eastAsia="仿宋_GB2312" w:cs="Times New Roman"/>
          <w:sz w:val="32"/>
          <w:szCs w:val="32"/>
        </w:rPr>
        <w:t>万元，项目支出</w:t>
      </w:r>
      <w:r>
        <w:rPr>
          <w:rFonts w:ascii="Segoe UI" w:hAnsi="Segoe UI" w:eastAsia="Segoe UI" w:cs="Segoe UI"/>
          <w:color w:val="000000"/>
          <w:sz w:val="28"/>
          <w:szCs w:val="28"/>
          <w:shd w:val="clear" w:color="auto" w:fill="FFFFFF"/>
        </w:rPr>
        <w:t>334.5</w:t>
      </w:r>
      <w:r>
        <w:rPr>
          <w:rFonts w:ascii="仿宋_GB2312" w:hAnsi="仿宋_GB2312" w:eastAsia="仿宋_GB2312" w:cs="Times New Roman"/>
          <w:sz w:val="32"/>
          <w:szCs w:val="32"/>
        </w:rPr>
        <w:t>万元。</w:t>
      </w:r>
    </w:p>
    <w:p>
      <w:pPr>
        <w:snapToGrid w:val="0"/>
        <w:spacing w:line="520" w:lineRule="exact"/>
        <w:ind w:firstLine="640" w:firstLineChars="200"/>
        <w:rPr>
          <w:rFonts w:hint="default" w:eastAsia="宋体"/>
        </w:rPr>
      </w:pPr>
      <w:r>
        <w:rPr>
          <w:rFonts w:ascii="仿宋_GB2312" w:hAnsi="仿宋" w:eastAsia="仿宋_GB2312" w:cs="仿宋"/>
          <w:sz w:val="32"/>
          <w:szCs w:val="32"/>
        </w:rPr>
        <w:t>2024年公务用车运行维护费为98000元，较2023年98000元持平；2024年公务接待费118913元，较2023年118749增加了164元；</w:t>
      </w:r>
    </w:p>
    <w:p>
      <w:pPr>
        <w:pStyle w:val="10"/>
        <w:spacing w:line="570" w:lineRule="exact"/>
        <w:ind w:firstLine="640"/>
        <w:outlineLvl w:val="0"/>
        <w:rPr>
          <w:rFonts w:ascii="Times New Roman" w:hAnsi="Times New Roman" w:eastAsia="黑体"/>
          <w:sz w:val="32"/>
        </w:rPr>
      </w:pPr>
      <w:r>
        <w:rPr>
          <w:rFonts w:hint="eastAsia" w:ascii="Times New Roman" w:hAnsi="Times New Roman" w:eastAsia="黑体"/>
          <w:sz w:val="32"/>
        </w:rPr>
        <w:t>二、一般公共预算支出情况</w:t>
      </w:r>
    </w:p>
    <w:p>
      <w:pPr>
        <w:pStyle w:val="10"/>
        <w:spacing w:line="570" w:lineRule="exact"/>
        <w:ind w:firstLine="640"/>
        <w:outlineLvl w:val="1"/>
        <w:rPr>
          <w:rFonts w:ascii="Times New Roman" w:hAnsi="Times New Roman" w:eastAsia="仿宋_GB2312"/>
          <w:sz w:val="32"/>
        </w:rPr>
      </w:pPr>
      <w:r>
        <w:rPr>
          <w:rFonts w:hint="eastAsia" w:ascii="Times New Roman" w:hAnsi="Times New Roman" w:eastAsia="仿宋_GB2312"/>
          <w:sz w:val="32"/>
        </w:rPr>
        <w:t>（一）基本支出情况</w:t>
      </w:r>
    </w:p>
    <w:p>
      <w:pPr>
        <w:pStyle w:val="10"/>
        <w:spacing w:line="570" w:lineRule="exact"/>
        <w:ind w:firstLine="640"/>
        <w:outlineLvl w:val="1"/>
        <w:rPr>
          <w:rFonts w:ascii="Times New Roman" w:hAnsi="Times New Roman" w:eastAsia="仿宋_GB2312"/>
          <w:sz w:val="32"/>
        </w:rPr>
      </w:pPr>
      <w:r>
        <w:rPr>
          <w:rFonts w:hint="eastAsia" w:ascii="仿宋_GB2312" w:hAnsi="仿宋_GB2312" w:eastAsia="仿宋_GB2312" w:cs="Times New Roman"/>
          <w:kern w:val="2"/>
          <w:sz w:val="32"/>
          <w:szCs w:val="32"/>
        </w:rPr>
        <w:t>2024年度基本支出为</w:t>
      </w:r>
      <w:r>
        <w:rPr>
          <w:rFonts w:hint="eastAsia" w:ascii="Segoe UI" w:hAnsi="Segoe UI" w:eastAsia="宋体" w:cs="Segoe UI"/>
          <w:szCs w:val="28"/>
          <w:shd w:val="clear" w:color="auto" w:fill="FFFFFF"/>
        </w:rPr>
        <w:t>1010.92</w:t>
      </w:r>
      <w:r>
        <w:rPr>
          <w:rFonts w:hint="eastAsia" w:ascii="仿宋_GB2312" w:hAnsi="仿宋_GB2312" w:eastAsia="仿宋_GB2312" w:cs="Times New Roman"/>
          <w:kern w:val="2"/>
          <w:sz w:val="32"/>
          <w:szCs w:val="32"/>
        </w:rPr>
        <w:t>万元，占总支出比重为75.88%。一般公共预算财政拨款基本支出中人员经费909.69万元，主要包括：基本工资、津贴补贴、奖金、社会保障缴费、其他工资福利支出、离休费、退休费、抚恤金、奖励金、住房公积金、其他对个人和家庭的补助；一般公共预算财政拨款基本支出中公用经费90.97万元，主要包括：办公费、印刷费、邮电费、差旅费、维修（护）费、公务接待费、劳务费、工会经费、福利费、公务用车运行维护费、其他交通费用、其他商品和服务支出、办公设备购置。</w:t>
      </w:r>
    </w:p>
    <w:p>
      <w:pPr>
        <w:pStyle w:val="10"/>
        <w:spacing w:line="570" w:lineRule="exact"/>
        <w:ind w:firstLine="640"/>
        <w:outlineLvl w:val="1"/>
        <w:rPr>
          <w:rFonts w:ascii="Times New Roman" w:hAnsi="Times New Roman" w:eastAsia="仿宋_GB2312"/>
          <w:sz w:val="32"/>
        </w:rPr>
      </w:pPr>
      <w:r>
        <w:rPr>
          <w:rFonts w:hint="eastAsia" w:ascii="Times New Roman" w:hAnsi="Times New Roman" w:eastAsia="仿宋_GB2312"/>
          <w:sz w:val="32"/>
        </w:rPr>
        <w:t>（二）项目支出情况</w:t>
      </w:r>
    </w:p>
    <w:p>
      <w:pPr>
        <w:pStyle w:val="10"/>
        <w:spacing w:line="600" w:lineRule="exact"/>
        <w:ind w:firstLine="640"/>
        <w:rPr>
          <w:rFonts w:ascii="Times New Roman" w:hAnsi="Times New Roman" w:eastAsia="仿宋_GB2312"/>
          <w:sz w:val="32"/>
        </w:rPr>
      </w:pPr>
      <w:r>
        <w:rPr>
          <w:rFonts w:hint="eastAsia" w:ascii="仿宋_GB2312" w:hAnsi="仿宋_GB2312" w:eastAsia="仿宋_GB2312" w:cs="Times New Roman"/>
          <w:kern w:val="2"/>
          <w:sz w:val="32"/>
          <w:szCs w:val="32"/>
        </w:rPr>
        <w:t>2024年度项目支出为</w:t>
      </w:r>
      <w:r>
        <w:rPr>
          <w:rFonts w:hint="eastAsia" w:ascii="Segoe UI" w:hAnsi="Segoe UI" w:eastAsia="宋体" w:cs="Segoe UI"/>
          <w:szCs w:val="28"/>
          <w:shd w:val="clear" w:color="auto" w:fill="FFFFFF"/>
        </w:rPr>
        <w:t>334.5</w:t>
      </w:r>
      <w:r>
        <w:rPr>
          <w:rFonts w:hint="eastAsia" w:ascii="仿宋_GB2312" w:hAnsi="仿宋_GB2312" w:eastAsia="仿宋_GB2312" w:cs="Times New Roman"/>
          <w:kern w:val="2"/>
          <w:sz w:val="32"/>
          <w:szCs w:val="32"/>
        </w:rPr>
        <w:t>万元，占总支出的比重为24.12%，是指单位为完成特定行政工作任务或事业发展目标而发生的支出，其中：1、市场秩序执法支出9万元；2、一般行政管理事务148.4万元；3、其他市场监督管理事务134.46万元；4、食品安全监管事务支出24.34万元。5.药品事务支出2.4万元。6.质量基础支出15.9万元。</w:t>
      </w:r>
    </w:p>
    <w:p>
      <w:pPr>
        <w:pStyle w:val="10"/>
        <w:spacing w:line="570" w:lineRule="exact"/>
        <w:ind w:firstLine="640"/>
        <w:jc w:val="left"/>
        <w:outlineLvl w:val="0"/>
        <w:rPr>
          <w:rFonts w:ascii="Times New Roman" w:hAnsi="Times New Roman" w:eastAsia="黑体"/>
          <w:sz w:val="32"/>
        </w:rPr>
      </w:pPr>
      <w:r>
        <w:rPr>
          <w:rFonts w:hint="eastAsia" w:ascii="Times New Roman" w:hAnsi="Times New Roman" w:eastAsia="黑体"/>
          <w:sz w:val="32"/>
        </w:rPr>
        <w:t>三、政府性基金预算支出情况。</w:t>
      </w:r>
    </w:p>
    <w:p>
      <w:pPr>
        <w:pStyle w:val="10"/>
        <w:spacing w:line="570" w:lineRule="exact"/>
        <w:ind w:firstLine="640"/>
        <w:jc w:val="left"/>
        <w:outlineLvl w:val="0"/>
        <w:rPr>
          <w:rFonts w:ascii="Times New Roman" w:hAnsi="Times New Roman" w:eastAsia="仿宋_GB2312"/>
          <w:color w:val="000000"/>
          <w:sz w:val="32"/>
        </w:rPr>
      </w:pPr>
      <w:r>
        <w:rPr>
          <w:rFonts w:hint="eastAsia" w:ascii="Times New Roman" w:hAnsi="Times New Roman" w:eastAsia="仿宋_GB2312"/>
          <w:color w:val="000000"/>
          <w:sz w:val="32"/>
        </w:rPr>
        <w:t>我单位无政府性基金预算支出情况</w:t>
      </w:r>
    </w:p>
    <w:p>
      <w:pPr>
        <w:pStyle w:val="10"/>
        <w:numPr>
          <w:ilvl w:val="0"/>
          <w:numId w:val="3"/>
        </w:numPr>
        <w:spacing w:line="570" w:lineRule="exact"/>
        <w:ind w:firstLine="640"/>
        <w:jc w:val="left"/>
        <w:outlineLvl w:val="0"/>
        <w:rPr>
          <w:rFonts w:ascii="Times New Roman" w:hAnsi="Times New Roman" w:eastAsia="黑体"/>
          <w:sz w:val="32"/>
        </w:rPr>
      </w:pPr>
      <w:r>
        <w:rPr>
          <w:rFonts w:hint="eastAsia" w:ascii="Times New Roman" w:hAnsi="Times New Roman" w:eastAsia="黑体"/>
          <w:sz w:val="32"/>
        </w:rPr>
        <w:t>国有资本经营预算支出情况。</w:t>
      </w:r>
    </w:p>
    <w:p>
      <w:pPr>
        <w:pStyle w:val="10"/>
        <w:spacing w:line="570" w:lineRule="exact"/>
        <w:ind w:firstLine="640"/>
        <w:jc w:val="left"/>
        <w:outlineLvl w:val="0"/>
        <w:rPr>
          <w:rFonts w:ascii="Times New Roman" w:hAnsi="Times New Roman" w:eastAsia="黑体"/>
          <w:sz w:val="32"/>
        </w:rPr>
      </w:pPr>
      <w:r>
        <w:rPr>
          <w:rFonts w:hint="eastAsia" w:ascii="Times New Roman" w:hAnsi="Times New Roman" w:eastAsia="仿宋_GB2312"/>
          <w:color w:val="000000"/>
          <w:sz w:val="32"/>
        </w:rPr>
        <w:t>我单位无国有资本经营预算支出情况</w:t>
      </w:r>
    </w:p>
    <w:p>
      <w:pPr>
        <w:pStyle w:val="10"/>
        <w:numPr>
          <w:ilvl w:val="0"/>
          <w:numId w:val="3"/>
        </w:numPr>
        <w:spacing w:line="570" w:lineRule="exact"/>
        <w:ind w:firstLine="640"/>
        <w:jc w:val="left"/>
        <w:outlineLvl w:val="0"/>
        <w:rPr>
          <w:rFonts w:ascii="Times New Roman" w:hAnsi="Times New Roman" w:eastAsia="黑体"/>
          <w:sz w:val="32"/>
        </w:rPr>
      </w:pPr>
      <w:r>
        <w:rPr>
          <w:rFonts w:hint="eastAsia" w:ascii="Times New Roman" w:hAnsi="Times New Roman" w:eastAsia="黑体"/>
          <w:sz w:val="32"/>
        </w:rPr>
        <w:t>社会保险基金预算支出情况。</w:t>
      </w:r>
    </w:p>
    <w:p>
      <w:pPr>
        <w:pStyle w:val="10"/>
        <w:spacing w:line="570" w:lineRule="exact"/>
        <w:ind w:left="420" w:leftChars="200" w:firstLine="320" w:firstLineChars="100"/>
        <w:jc w:val="left"/>
        <w:outlineLvl w:val="0"/>
        <w:rPr>
          <w:rFonts w:ascii="Times New Roman" w:hAnsi="Times New Roman" w:eastAsia="黑体"/>
          <w:sz w:val="32"/>
        </w:rPr>
      </w:pPr>
      <w:r>
        <w:rPr>
          <w:rFonts w:hint="eastAsia" w:ascii="Times New Roman" w:hAnsi="Times New Roman" w:eastAsia="仿宋_GB2312"/>
          <w:color w:val="000000"/>
          <w:sz w:val="32"/>
        </w:rPr>
        <w:t>我单位无社会保险基金预算支出情况</w:t>
      </w:r>
    </w:p>
    <w:p>
      <w:pPr>
        <w:spacing w:line="570" w:lineRule="exact"/>
        <w:ind w:firstLine="645"/>
        <w:jc w:val="left"/>
        <w:outlineLvl w:val="0"/>
        <w:rPr>
          <w:rFonts w:hint="default" w:eastAsia="黑体"/>
          <w:sz w:val="32"/>
        </w:rPr>
      </w:pPr>
      <w:r>
        <w:rPr>
          <w:rFonts w:eastAsia="黑体"/>
          <w:sz w:val="32"/>
        </w:rPr>
        <w:t>六、部门整体支出绩效情况</w:t>
      </w:r>
    </w:p>
    <w:p>
      <w:pPr>
        <w:pStyle w:val="10"/>
        <w:spacing w:line="570" w:lineRule="exact"/>
        <w:ind w:firstLine="640"/>
        <w:jc w:val="left"/>
        <w:outlineLvl w:val="0"/>
        <w:rPr>
          <w:rFonts w:eastAsia="仿宋_GB2312"/>
          <w:color w:val="000000"/>
          <w:sz w:val="32"/>
        </w:rPr>
      </w:pPr>
      <w:r>
        <w:rPr>
          <w:rFonts w:hint="eastAsia" w:eastAsia="仿宋_GB2312"/>
          <w:color w:val="000000"/>
          <w:sz w:val="32"/>
        </w:rPr>
        <w:t>在县委县政府的正确领导下，全局干部职工凝心聚力、解放思想、开拓思路、攻坚克难，突出“转职能，强服务；强监管，保安全；重执法，维民权；夯基础，见成效”的工作方针，形成了1+1+1大于3的良好局面，全局工作有序开展，取得了较好的成绩，圆满完成县委县政府和上级主管部门交办的工作任务，主要绩效如下：</w:t>
      </w:r>
    </w:p>
    <w:p>
      <w:pPr>
        <w:pStyle w:val="10"/>
        <w:spacing w:line="570" w:lineRule="exact"/>
        <w:ind w:firstLine="640"/>
        <w:jc w:val="left"/>
        <w:outlineLvl w:val="0"/>
        <w:rPr>
          <w:rFonts w:eastAsia="仿宋_GB2312"/>
          <w:color w:val="000000"/>
          <w:sz w:val="32"/>
        </w:rPr>
      </w:pPr>
      <w:r>
        <w:rPr>
          <w:rFonts w:hint="eastAsia" w:eastAsia="仿宋_GB2312"/>
          <w:color w:val="000000"/>
          <w:sz w:val="32"/>
        </w:rPr>
        <w:t>1、积极落实了商事登记制度改革各项措施，随着商事登记制度改革的落实，全县市场主体稳步增长；</w:t>
      </w:r>
    </w:p>
    <w:p>
      <w:pPr>
        <w:pStyle w:val="10"/>
        <w:spacing w:line="570" w:lineRule="exact"/>
        <w:ind w:firstLine="640"/>
        <w:jc w:val="left"/>
        <w:outlineLvl w:val="0"/>
        <w:rPr>
          <w:rFonts w:eastAsia="仿宋_GB2312"/>
          <w:color w:val="000000"/>
          <w:sz w:val="32"/>
        </w:rPr>
      </w:pPr>
      <w:r>
        <w:rPr>
          <w:rFonts w:hint="eastAsia" w:eastAsia="仿宋_GB2312"/>
          <w:color w:val="000000"/>
          <w:sz w:val="32"/>
        </w:rPr>
        <w:t>2、维护市场经济秩序，切实加强对企业监督管理：积极开展个体企业状态的抽查、调查和核实工作，对超市、综合市场、水果店等经营的蔬菜、水果、肉禽、水产品、蛋等进行抽检；</w:t>
      </w:r>
    </w:p>
    <w:p>
      <w:pPr>
        <w:pStyle w:val="10"/>
        <w:spacing w:line="570" w:lineRule="exact"/>
        <w:ind w:firstLine="640"/>
        <w:jc w:val="left"/>
        <w:outlineLvl w:val="0"/>
        <w:rPr>
          <w:rFonts w:eastAsia="仿宋_GB2312"/>
          <w:color w:val="000000"/>
          <w:sz w:val="32"/>
        </w:rPr>
      </w:pPr>
      <w:r>
        <w:rPr>
          <w:rFonts w:hint="eastAsia" w:eastAsia="仿宋_GB2312"/>
          <w:color w:val="000000"/>
          <w:sz w:val="32"/>
        </w:rPr>
        <w:t>3、切实加强特种设备安全监管：我局认真开展了特种设备的监督检验与定期检验工作。协助省特检院永州分院对我县特种设备使用单位的特种设备进行了监督检验与过期检验；</w:t>
      </w:r>
    </w:p>
    <w:p>
      <w:pPr>
        <w:pStyle w:val="10"/>
        <w:spacing w:line="570" w:lineRule="exact"/>
        <w:ind w:firstLine="640"/>
        <w:jc w:val="left"/>
        <w:outlineLvl w:val="0"/>
        <w:rPr>
          <w:rFonts w:eastAsia="仿宋_GB2312"/>
          <w:color w:val="000000"/>
          <w:sz w:val="32"/>
        </w:rPr>
      </w:pPr>
      <w:r>
        <w:rPr>
          <w:rFonts w:hint="eastAsia" w:eastAsia="仿宋_GB2312"/>
          <w:color w:val="000000"/>
          <w:sz w:val="32"/>
        </w:rPr>
        <w:t>4、切实加强计量及认证工作：开展了免检工作、强检工作、计量检测工作和计量认证工作。</w:t>
      </w:r>
    </w:p>
    <w:p>
      <w:pPr>
        <w:pStyle w:val="10"/>
        <w:spacing w:line="570" w:lineRule="exact"/>
        <w:ind w:firstLine="640"/>
        <w:jc w:val="left"/>
        <w:outlineLvl w:val="0"/>
        <w:rPr>
          <w:rFonts w:eastAsia="仿宋_GB2312"/>
          <w:color w:val="000000"/>
          <w:sz w:val="32"/>
        </w:rPr>
      </w:pPr>
      <w:r>
        <w:rPr>
          <w:rFonts w:hint="eastAsia" w:eastAsia="仿宋_GB2312"/>
          <w:color w:val="000000"/>
          <w:sz w:val="32"/>
        </w:rPr>
        <w:t>切实加强行政执法工作，开展了执法培训，充分利用局内网等督促指导执法人员学习法律法规、探讨业务工作。</w:t>
      </w:r>
    </w:p>
    <w:p>
      <w:pPr>
        <w:pStyle w:val="10"/>
        <w:spacing w:line="570" w:lineRule="exact"/>
        <w:ind w:firstLine="640"/>
        <w:jc w:val="left"/>
        <w:outlineLvl w:val="0"/>
        <w:rPr>
          <w:rFonts w:ascii="Times New Roman" w:hAnsi="Times New Roman" w:eastAsia="黑体"/>
          <w:sz w:val="32"/>
        </w:rPr>
      </w:pPr>
      <w:r>
        <w:rPr>
          <w:rFonts w:hint="eastAsia" w:ascii="Times New Roman" w:hAnsi="Times New Roman" w:eastAsia="黑体"/>
          <w:sz w:val="32"/>
        </w:rPr>
        <w:t>七、存在的问题及原因分析</w:t>
      </w:r>
    </w:p>
    <w:p>
      <w:pPr>
        <w:spacing w:line="570" w:lineRule="exact"/>
        <w:ind w:firstLine="640" w:firstLineChars="200"/>
        <w:jc w:val="left"/>
        <w:outlineLvl w:val="0"/>
        <w:rPr>
          <w:rFonts w:hint="default" w:eastAsia="仿宋_GB2312"/>
          <w:color w:val="000000"/>
          <w:sz w:val="32"/>
        </w:rPr>
      </w:pPr>
      <w:r>
        <w:rPr>
          <w:rFonts w:eastAsia="仿宋_GB2312"/>
          <w:color w:val="000000"/>
          <w:sz w:val="32"/>
        </w:rPr>
        <w:t>1、预算执行率有待提高。由于预算项目未及时报账导致年末预算资金未形成支出。</w:t>
      </w:r>
    </w:p>
    <w:p>
      <w:pPr>
        <w:spacing w:line="570" w:lineRule="exact"/>
        <w:ind w:firstLine="640" w:firstLineChars="200"/>
        <w:jc w:val="left"/>
        <w:outlineLvl w:val="0"/>
        <w:rPr>
          <w:rFonts w:hint="default" w:eastAsia="仿宋_GB2312"/>
          <w:color w:val="000000"/>
          <w:sz w:val="32"/>
        </w:rPr>
      </w:pPr>
      <w:r>
        <w:rPr>
          <w:rFonts w:eastAsia="仿宋_GB2312"/>
          <w:color w:val="000000"/>
          <w:sz w:val="32"/>
        </w:rPr>
        <w:t>2、专项资金少，资金压力大。针对我局经济基础薄弱、资金压力大的现状，重点产业项目尚需进一步的加强。</w:t>
      </w:r>
    </w:p>
    <w:p>
      <w:pPr>
        <w:spacing w:line="570" w:lineRule="exact"/>
        <w:ind w:firstLine="640" w:firstLineChars="200"/>
        <w:jc w:val="left"/>
        <w:outlineLvl w:val="0"/>
        <w:rPr>
          <w:rFonts w:hint="default" w:eastAsia="仿宋_GB2312"/>
          <w:color w:val="000000"/>
          <w:sz w:val="32"/>
        </w:rPr>
      </w:pPr>
      <w:r>
        <w:rPr>
          <w:rFonts w:eastAsia="仿宋_GB2312"/>
          <w:color w:val="000000"/>
          <w:sz w:val="32"/>
        </w:rPr>
        <w:t>3、预算编制不够明确和细化，预算编制的合理性需要提高，预算执行力度还要进一步加强。资金使用效益有待进一步提高，绩效目标设立不够明确、细化和量化。</w:t>
      </w:r>
    </w:p>
    <w:p>
      <w:pPr>
        <w:spacing w:line="570" w:lineRule="exact"/>
        <w:ind w:firstLine="640" w:firstLineChars="200"/>
        <w:jc w:val="left"/>
        <w:rPr>
          <w:rFonts w:hint="default" w:eastAsia="仿宋_GB2312"/>
          <w:sz w:val="32"/>
        </w:rPr>
      </w:pPr>
      <w:r>
        <w:rPr>
          <w:rFonts w:eastAsia="仿宋_GB2312"/>
          <w:color w:val="000000"/>
          <w:sz w:val="32"/>
        </w:rPr>
        <w:t>4、人员严重缺编与工作任务繁重矛盾日益突出。</w:t>
      </w:r>
    </w:p>
    <w:p>
      <w:pPr>
        <w:spacing w:line="570" w:lineRule="exact"/>
        <w:ind w:firstLine="640" w:firstLineChars="200"/>
        <w:jc w:val="left"/>
        <w:outlineLvl w:val="0"/>
        <w:rPr>
          <w:rFonts w:hint="default" w:eastAsia="黑体"/>
          <w:sz w:val="32"/>
        </w:rPr>
      </w:pPr>
      <w:r>
        <w:rPr>
          <w:rFonts w:eastAsia="黑体"/>
          <w:sz w:val="32"/>
        </w:rPr>
        <w:t>八、下一步改进措施</w:t>
      </w:r>
    </w:p>
    <w:p>
      <w:pPr>
        <w:spacing w:line="570" w:lineRule="exact"/>
        <w:ind w:firstLine="640" w:firstLineChars="200"/>
        <w:jc w:val="left"/>
        <w:outlineLvl w:val="0"/>
        <w:rPr>
          <w:rFonts w:hint="default" w:eastAsia="仿宋_GB2312"/>
          <w:color w:val="000000"/>
          <w:sz w:val="32"/>
        </w:rPr>
      </w:pPr>
      <w:r>
        <w:rPr>
          <w:rFonts w:hint="default" w:eastAsia="仿宋_GB2312"/>
          <w:color w:val="000000"/>
          <w:sz w:val="32"/>
        </w:rPr>
        <w:t>（一）加强部门预算管理,合理安排财政资金。增强行政成本意识，细化经费预算编制，在保证单位正常工作需要的人员经费和公用经费的前提下，严格控制 “三公”经费支出。各项支出遵照预算执行，确保支出与预算的对应衔接，着力提高预算执行力。</w:t>
      </w:r>
    </w:p>
    <w:p>
      <w:pPr>
        <w:spacing w:line="570" w:lineRule="exact"/>
        <w:ind w:firstLine="640" w:firstLineChars="200"/>
        <w:jc w:val="left"/>
        <w:outlineLvl w:val="0"/>
        <w:rPr>
          <w:rFonts w:hint="default" w:eastAsia="仿宋_GB2312"/>
          <w:color w:val="000000"/>
          <w:sz w:val="32"/>
        </w:rPr>
      </w:pPr>
      <w:r>
        <w:rPr>
          <w:rFonts w:hint="default" w:eastAsia="仿宋_GB2312"/>
          <w:color w:val="000000"/>
          <w:sz w:val="32"/>
        </w:rPr>
        <w:t>（二）加强“三公”经费管理，严控“三公”经费规模。我单位在既有的制度办法基础上，进一步研究完善公务接待、公务用车配置使用和因公出国(境)等管理制度和审核程序，将“三公”经费严格纳入预算管理，严控 “三公”经费支出。</w:t>
      </w:r>
    </w:p>
    <w:p>
      <w:pPr>
        <w:spacing w:line="570" w:lineRule="exact"/>
        <w:ind w:firstLine="640" w:firstLineChars="200"/>
        <w:jc w:val="left"/>
        <w:outlineLvl w:val="0"/>
        <w:rPr>
          <w:rFonts w:hint="default" w:eastAsia="仿宋_GB2312"/>
          <w:color w:val="000000"/>
          <w:sz w:val="32"/>
        </w:rPr>
      </w:pPr>
      <w:r>
        <w:rPr>
          <w:rFonts w:hint="default" w:eastAsia="仿宋_GB2312"/>
          <w:color w:val="000000"/>
          <w:sz w:val="32"/>
        </w:rPr>
        <w:t>（三）加强对公用支出中重点费用的管理。规范会议费、培训费、差旅费、办公费等费用开支标准，按照国家规定的标准和范围列支，控制会议培训的数量、规模，简化会议培训的形式；控制差旅活动的人数和天数，不安排无明确目的的公务考察活动，出差完善审批程序；坚持厉行节约的原则，控制和压缩办公经费支出，各项费用严格控制在预算额度内使用。</w:t>
      </w:r>
    </w:p>
    <w:p>
      <w:pPr>
        <w:spacing w:line="570" w:lineRule="exact"/>
        <w:ind w:firstLine="640" w:firstLineChars="200"/>
        <w:jc w:val="left"/>
        <w:outlineLvl w:val="0"/>
        <w:rPr>
          <w:rFonts w:hint="default"/>
        </w:rPr>
      </w:pPr>
      <w:r>
        <w:rPr>
          <w:rFonts w:hint="default" w:eastAsia="仿宋_GB2312"/>
          <w:color w:val="000000"/>
          <w:sz w:val="32"/>
        </w:rPr>
        <w:t>（四）规范资金结算管理。各项支出按照批准的预算和有关规定审核办理，各项费用严格按照经费审批程序审批后才能报销，杜绝不合理的开支。资金支付执行国库集中支付结算方式，规范公务支出中的现金提取和使用，保证资金支付的安全、透明、规范，提高财政资金支付效率。</w:t>
      </w:r>
    </w:p>
    <w:p>
      <w:pPr>
        <w:spacing w:line="570" w:lineRule="exact"/>
        <w:ind w:firstLine="645"/>
        <w:jc w:val="left"/>
        <w:outlineLvl w:val="0"/>
        <w:rPr>
          <w:rFonts w:hint="default" w:eastAsia="黑体"/>
          <w:sz w:val="32"/>
        </w:rPr>
      </w:pPr>
      <w:r>
        <w:rPr>
          <w:rFonts w:eastAsia="黑体"/>
          <w:sz w:val="32"/>
        </w:rPr>
        <w:t>九、部门整体支出绩效自评结果拟应用和公开情况</w:t>
      </w:r>
    </w:p>
    <w:p>
      <w:pPr>
        <w:spacing w:line="570" w:lineRule="exact"/>
        <w:ind w:firstLine="645"/>
        <w:jc w:val="left"/>
        <w:outlineLvl w:val="0"/>
        <w:rPr>
          <w:rFonts w:hint="default"/>
        </w:rPr>
      </w:pPr>
      <w:r>
        <w:rPr>
          <w:rFonts w:ascii="仿宋_GB2312" w:hAnsi="仿宋_GB2312" w:eastAsia="仿宋_GB2312"/>
          <w:color w:val="000000"/>
          <w:sz w:val="32"/>
          <w:szCs w:val="32"/>
        </w:rPr>
        <w:t>根据部门整体支出绩效评价指标体系，我单位2024年度评价得分为100分。</w:t>
      </w:r>
    </w:p>
    <w:p>
      <w:pPr>
        <w:spacing w:line="570" w:lineRule="exact"/>
        <w:ind w:firstLine="645"/>
        <w:jc w:val="left"/>
        <w:rPr>
          <w:rFonts w:hint="default" w:eastAsia="黑体"/>
          <w:sz w:val="32"/>
        </w:rPr>
      </w:pPr>
      <w:r>
        <w:rPr>
          <w:rFonts w:eastAsia="黑体"/>
          <w:sz w:val="32"/>
        </w:rPr>
        <w:t>其他需要说明的情况</w:t>
      </w:r>
    </w:p>
    <w:p>
      <w:pPr>
        <w:spacing w:line="570" w:lineRule="exact"/>
        <w:ind w:firstLine="645"/>
        <w:jc w:val="left"/>
        <w:outlineLvl w:val="0"/>
        <w:rPr>
          <w:rFonts w:hint="default" w:ascii="仿宋_GB2312" w:hAnsi="仿宋_GB2312" w:eastAsia="仿宋_GB2312"/>
          <w:color w:val="000000"/>
          <w:sz w:val="32"/>
          <w:szCs w:val="32"/>
        </w:rPr>
      </w:pPr>
      <w:r>
        <w:rPr>
          <w:rFonts w:ascii="仿宋_GB2312" w:hAnsi="仿宋_GB2312" w:eastAsia="仿宋_GB2312"/>
          <w:color w:val="000000"/>
          <w:sz w:val="32"/>
          <w:szCs w:val="32"/>
        </w:rPr>
        <w:t>无</w:t>
      </w:r>
    </w:p>
    <w:p>
      <w:pPr>
        <w:spacing w:afterLines="50" w:line="600" w:lineRule="exact"/>
        <w:rPr>
          <w:rFonts w:hint="default" w:eastAsia="黑体"/>
          <w:sz w:val="32"/>
        </w:rPr>
      </w:pPr>
    </w:p>
    <w:p>
      <w:pPr>
        <w:spacing w:afterLines="50" w:line="600" w:lineRule="exact"/>
        <w:rPr>
          <w:rFonts w:hint="default" w:eastAsia="黑体"/>
          <w:sz w:val="32"/>
        </w:rPr>
      </w:pPr>
    </w:p>
    <w:p>
      <w:pPr>
        <w:spacing w:afterLines="50" w:line="600" w:lineRule="exact"/>
        <w:rPr>
          <w:rFonts w:hint="default" w:eastAsia="黑体"/>
          <w:sz w:val="32"/>
        </w:rPr>
      </w:pPr>
    </w:p>
    <w:p>
      <w:pPr>
        <w:spacing w:afterLines="50" w:line="600" w:lineRule="exact"/>
        <w:rPr>
          <w:rFonts w:hint="default" w:eastAsia="黑体"/>
          <w:sz w:val="32"/>
        </w:rPr>
      </w:pPr>
    </w:p>
    <w:p>
      <w:pPr>
        <w:spacing w:afterLines="50" w:line="600" w:lineRule="exact"/>
        <w:rPr>
          <w:rFonts w:hint="default" w:eastAsia="黑体"/>
          <w:sz w:val="32"/>
        </w:rPr>
      </w:pPr>
    </w:p>
    <w:p>
      <w:pPr>
        <w:spacing w:afterLines="50" w:line="600" w:lineRule="exact"/>
        <w:rPr>
          <w:rFonts w:hint="default" w:eastAsia="黑体"/>
          <w:sz w:val="32"/>
        </w:rPr>
      </w:pPr>
    </w:p>
    <w:p>
      <w:pPr>
        <w:spacing w:afterLines="50" w:line="600" w:lineRule="exact"/>
        <w:rPr>
          <w:rFonts w:hint="default" w:eastAsia="黑体"/>
          <w:sz w:val="32"/>
        </w:rPr>
      </w:pPr>
    </w:p>
    <w:p>
      <w:pPr>
        <w:spacing w:line="440" w:lineRule="exact"/>
        <w:rPr>
          <w:rFonts w:hint="default" w:ascii="黑体" w:hAnsi="黑体" w:eastAsia="黑体" w:cs="黑体"/>
          <w:sz w:val="32"/>
          <w:szCs w:val="32"/>
        </w:rPr>
      </w:pPr>
      <w:r>
        <w:rPr>
          <w:rFonts w:ascii="黑体" w:hAnsi="黑体" w:eastAsia="黑体" w:cs="黑体"/>
          <w:sz w:val="32"/>
          <w:szCs w:val="32"/>
        </w:rPr>
        <w:t>附件2</w:t>
      </w:r>
    </w:p>
    <w:p>
      <w:pPr>
        <w:spacing w:line="440" w:lineRule="exact"/>
        <w:rPr>
          <w:rFonts w:hint="default" w:ascii="黑体" w:hAnsi="黑体" w:eastAsia="黑体" w:cs="黑体"/>
          <w:sz w:val="32"/>
          <w:szCs w:val="32"/>
        </w:rPr>
      </w:pPr>
    </w:p>
    <w:p>
      <w:pPr>
        <w:spacing w:line="440" w:lineRule="exact"/>
        <w:jc w:val="center"/>
        <w:outlineLvl w:val="1"/>
        <w:rPr>
          <w:rFonts w:hint="default" w:ascii="方正小标宋简体" w:eastAsia="方正小标宋简体"/>
          <w:sz w:val="44"/>
        </w:rPr>
      </w:pPr>
      <w:r>
        <w:rPr>
          <w:rFonts w:ascii="方正小标宋简体" w:eastAsia="方正小标宋简体"/>
          <w:sz w:val="44"/>
        </w:rPr>
        <w:t>2024年度部门整体支出绩效评价基础数据表</w:t>
      </w:r>
    </w:p>
    <w:tbl>
      <w:tblPr>
        <w:tblStyle w:val="7"/>
        <w:tblW w:w="960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400"/>
        <w:gridCol w:w="1062"/>
        <w:gridCol w:w="784"/>
        <w:gridCol w:w="1228"/>
        <w:gridCol w:w="1062"/>
        <w:gridCol w:w="1027"/>
        <w:gridCol w:w="104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vMerge w:val="restart"/>
            <w:tcBorders>
              <w:top w:val="single" w:color="auto" w:sz="12"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财政供养人员情况（人）</w:t>
            </w:r>
          </w:p>
        </w:tc>
        <w:tc>
          <w:tcPr>
            <w:tcW w:w="1846" w:type="dxa"/>
            <w:gridSpan w:val="2"/>
            <w:tcBorders>
              <w:top w:val="single" w:color="auto" w:sz="12"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b/>
                <w:sz w:val="24"/>
              </w:rPr>
            </w:pPr>
            <w:r>
              <w:rPr>
                <w:rFonts w:asciiTheme="minorEastAsia" w:hAnsiTheme="minorEastAsia" w:eastAsiaTheme="minorEastAsia" w:cstheme="minorEastAsia"/>
                <w:b/>
                <w:sz w:val="24"/>
              </w:rPr>
              <w:t>编制数</w:t>
            </w:r>
          </w:p>
        </w:tc>
        <w:tc>
          <w:tcPr>
            <w:tcW w:w="2290" w:type="dxa"/>
            <w:gridSpan w:val="2"/>
            <w:tcBorders>
              <w:top w:val="single" w:color="auto" w:sz="12"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b/>
                <w:sz w:val="24"/>
              </w:rPr>
            </w:pPr>
            <w:r>
              <w:rPr>
                <w:rFonts w:asciiTheme="minorEastAsia" w:hAnsiTheme="minorEastAsia" w:eastAsiaTheme="minorEastAsia" w:cstheme="minorEastAsia"/>
                <w:b/>
                <w:sz w:val="24"/>
              </w:rPr>
              <w:t>2024年实际在职人数</w:t>
            </w:r>
          </w:p>
        </w:tc>
        <w:tc>
          <w:tcPr>
            <w:tcW w:w="2072" w:type="dxa"/>
            <w:gridSpan w:val="2"/>
            <w:tcBorders>
              <w:top w:val="single" w:color="auto" w:sz="12"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b/>
                <w:sz w:val="24"/>
              </w:rPr>
            </w:pPr>
            <w:r>
              <w:rPr>
                <w:rFonts w:asciiTheme="minorEastAsia" w:hAnsiTheme="minorEastAsia" w:eastAsiaTheme="minorEastAsia" w:cstheme="minorEastAsia"/>
                <w:b/>
                <w:sz w:val="24"/>
              </w:rPr>
              <w:t>控制率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8" w:hRule="atLeast"/>
          <w:jc w:val="center"/>
        </w:trPr>
        <w:tc>
          <w:tcPr>
            <w:tcW w:w="3400"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sz w:val="24"/>
              </w:rPr>
            </w:pP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　160</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78　</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　48.75%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经费控制情况（万元）</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b/>
                <w:sz w:val="24"/>
              </w:rPr>
            </w:pPr>
            <w:r>
              <w:rPr>
                <w:rFonts w:asciiTheme="minorEastAsia" w:hAnsiTheme="minorEastAsia" w:eastAsiaTheme="minorEastAsia" w:cstheme="minorEastAsia"/>
                <w:b/>
                <w:sz w:val="24"/>
              </w:rPr>
              <w:t>2023年决算数</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b/>
                <w:sz w:val="24"/>
              </w:rPr>
            </w:pPr>
            <w:r>
              <w:rPr>
                <w:rFonts w:asciiTheme="minorEastAsia" w:hAnsiTheme="minorEastAsia" w:eastAsiaTheme="minorEastAsia" w:cstheme="minorEastAsia"/>
                <w:b/>
                <w:sz w:val="24"/>
              </w:rPr>
              <w:t>2024年预算数</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b/>
                <w:sz w:val="24"/>
              </w:rPr>
            </w:pPr>
            <w:r>
              <w:rPr>
                <w:rFonts w:asciiTheme="minorEastAsia" w:hAnsiTheme="minorEastAsia" w:eastAsiaTheme="minorEastAsia" w:cstheme="minorEastAsia"/>
                <w:b/>
                <w:sz w:val="24"/>
              </w:rPr>
              <w:t>2024年决算数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一、部门基本支出</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b/>
                <w:sz w:val="24"/>
              </w:rPr>
            </w:pPr>
            <w:r>
              <w:rPr>
                <w:rFonts w:asciiTheme="minorEastAsia" w:hAnsiTheme="minorEastAsia" w:eastAsiaTheme="minorEastAsia" w:cstheme="minorEastAsia"/>
                <w:sz w:val="24"/>
              </w:rPr>
              <w:t>1045.86</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b/>
                <w:sz w:val="24"/>
              </w:rPr>
            </w:pPr>
            <w:r>
              <w:rPr>
                <w:rFonts w:asciiTheme="minorEastAsia" w:hAnsiTheme="minorEastAsia" w:eastAsiaTheme="minorEastAsia" w:cstheme="minorEastAsia"/>
                <w:b/>
                <w:sz w:val="24"/>
              </w:rPr>
              <w:t>1010.92</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b/>
                <w:sz w:val="24"/>
              </w:rPr>
            </w:pPr>
            <w:r>
              <w:rPr>
                <w:rFonts w:asciiTheme="minorEastAsia" w:hAnsiTheme="minorEastAsia" w:eastAsiaTheme="minorEastAsia" w:cstheme="minorEastAsia"/>
                <w:b/>
                <w:sz w:val="24"/>
              </w:rPr>
              <w:t>1010.92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ign w:val="center"/>
          </w:tcPr>
          <w:p>
            <w:pP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其中：公用经费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b/>
                <w:sz w:val="24"/>
              </w:rPr>
            </w:pPr>
            <w:r>
              <w:rPr>
                <w:rFonts w:asciiTheme="minorEastAsia" w:hAnsiTheme="minorEastAsia" w:eastAsiaTheme="minorEastAsia" w:cstheme="minorEastAsia"/>
                <w:b/>
                <w:sz w:val="24"/>
              </w:rPr>
              <w:t>105.2</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b/>
                <w:sz w:val="24"/>
              </w:rPr>
            </w:pPr>
            <w:r>
              <w:rPr>
                <w:rFonts w:asciiTheme="minorEastAsia" w:hAnsiTheme="minorEastAsia" w:eastAsiaTheme="minorEastAsia" w:cstheme="minorEastAsia"/>
                <w:b/>
                <w:sz w:val="24"/>
              </w:rPr>
              <w:t>102.8</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b/>
                <w:sz w:val="24"/>
              </w:rPr>
            </w:pPr>
            <w:r>
              <w:rPr>
                <w:rFonts w:asciiTheme="minorEastAsia" w:hAnsiTheme="minorEastAsia" w:eastAsiaTheme="minorEastAsia" w:cstheme="minorEastAsia"/>
                <w:b/>
                <w:sz w:val="24"/>
              </w:rPr>
              <w:t>102.8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ign w:val="center"/>
          </w:tcPr>
          <w:p>
            <w:pPr>
              <w:ind w:firstLine="720" w:firstLineChars="300"/>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其中：办公费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　3</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1.6　</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　1.6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ign w:val="center"/>
          </w:tcPr>
          <w:p>
            <w:pPr>
              <w:ind w:firstLine="720" w:firstLineChars="300"/>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水费、电费、差旅费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13.5　</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17.1　</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17.1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ign w:val="center"/>
          </w:tcPr>
          <w:p>
            <w:pPr>
              <w:ind w:firstLine="720" w:firstLineChars="300"/>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会议费、培训费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0</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0　</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　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ign w:val="center"/>
          </w:tcPr>
          <w:p>
            <w:pPr>
              <w:ind w:firstLine="720" w:firstLineChars="300"/>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三公经费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21.7　</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21.7　</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　21.69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ign w:val="center"/>
          </w:tcPr>
          <w:p>
            <w:pPr>
              <w:ind w:firstLine="720" w:firstLineChars="300"/>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1.公务用车购置和维护经费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9.8　</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9.8　</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　9.8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ign w:val="center"/>
          </w:tcPr>
          <w:p>
            <w:pPr>
              <w:ind w:firstLine="720" w:firstLineChars="300"/>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其中：公务车购置</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0　</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0　</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0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 xml:space="preserve">            公务车运行维护</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9.8　</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9.8　</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　9.8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 xml:space="preserve">      2.出国经费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0</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0</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 xml:space="preserve">      3.公务接待</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11.9</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11.9</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11.89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ign w:val="center"/>
          </w:tcPr>
          <w:p>
            <w:pPr>
              <w:ind w:firstLine="960" w:firstLineChars="400"/>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二、项目支出小计</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369.85</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334.5</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334.5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Cs w:val="21"/>
              </w:rPr>
              <w:t>食品安全事务、农产品检测费、发明专利、非税办案工作经费、工业企业产品质量定期检测经费、食品安全“两个责任”机制包保工作经费、创建食品安全示范县</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146.5</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125.045</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125.045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Cs w:val="21"/>
              </w:rPr>
              <w:t>解决市场主体高质量发展工作经费、印章刻制费用、四项许可前移项目</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44.1053</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72.99</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72.99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Cs w:val="21"/>
              </w:rPr>
              <w:t>湖南省市场监管专项资金、中央食品药品补助资金、反垄断补助资金</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　121.5</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　136.465</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136.465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政府采购金额</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136.11　</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136.11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 xml:space="preserve">部门基本支出预算调整 </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　1010.92</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1010.92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00" w:hRule="atLeast"/>
          <w:jc w:val="center"/>
        </w:trPr>
        <w:tc>
          <w:tcPr>
            <w:tcW w:w="3400" w:type="dxa"/>
            <w:vMerge w:val="restart"/>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楼堂馆所控制情况</w:t>
            </w:r>
          </w:p>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（2024年完工项目）</w:t>
            </w:r>
          </w:p>
        </w:tc>
        <w:tc>
          <w:tcPr>
            <w:tcW w:w="106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批复规模</w:t>
            </w:r>
          </w:p>
          <w:p>
            <w:pPr>
              <w:spacing w:line="240" w:lineRule="exact"/>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w:t>
            </w:r>
          </w:p>
        </w:tc>
        <w:tc>
          <w:tcPr>
            <w:tcW w:w="78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实际规模（㎡）</w:t>
            </w:r>
          </w:p>
        </w:tc>
        <w:tc>
          <w:tcPr>
            <w:tcW w:w="122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规模控制率</w:t>
            </w:r>
          </w:p>
        </w:tc>
        <w:tc>
          <w:tcPr>
            <w:tcW w:w="106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预算投资（万元）</w:t>
            </w:r>
          </w:p>
        </w:tc>
        <w:tc>
          <w:tcPr>
            <w:tcW w:w="1027"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实际投资（万元）</w:t>
            </w:r>
          </w:p>
        </w:tc>
        <w:tc>
          <w:tcPr>
            <w:tcW w:w="1045" w:type="dxa"/>
            <w:tcBorders>
              <w:top w:val="single" w:color="auto" w:sz="6" w:space="0"/>
              <w:left w:val="single" w:color="auto" w:sz="6" w:space="0"/>
              <w:bottom w:val="single" w:color="auto" w:sz="6" w:space="0"/>
              <w:right w:val="single" w:color="auto" w:sz="12" w:space="0"/>
              <w:tl2br w:val="nil"/>
              <w:tr2bl w:val="nil"/>
            </w:tcBorders>
            <w:noWrap/>
            <w:vAlign w:val="center"/>
          </w:tcPr>
          <w:p>
            <w:pPr>
              <w:spacing w:line="240" w:lineRule="exact"/>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投资概算控制率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6" w:hRule="atLeast"/>
          <w:jc w:val="center"/>
        </w:trPr>
        <w:tc>
          <w:tcPr>
            <w:tcW w:w="3400"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sz w:val="24"/>
              </w:rPr>
            </w:pPr>
          </w:p>
        </w:tc>
        <w:tc>
          <w:tcPr>
            <w:tcW w:w="1062"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　0</w:t>
            </w:r>
          </w:p>
        </w:tc>
        <w:tc>
          <w:tcPr>
            <w:tcW w:w="784"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　0</w:t>
            </w:r>
          </w:p>
        </w:tc>
        <w:tc>
          <w:tcPr>
            <w:tcW w:w="1228"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　0</w:t>
            </w:r>
          </w:p>
        </w:tc>
        <w:tc>
          <w:tcPr>
            <w:tcW w:w="1062"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　0</w:t>
            </w:r>
          </w:p>
        </w:tc>
        <w:tc>
          <w:tcPr>
            <w:tcW w:w="1027"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　0</w:t>
            </w:r>
          </w:p>
        </w:tc>
        <w:tc>
          <w:tcPr>
            <w:tcW w:w="1045"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　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09" w:hRule="atLeast"/>
          <w:jc w:val="center"/>
        </w:trPr>
        <w:tc>
          <w:tcPr>
            <w:tcW w:w="3400" w:type="dxa"/>
            <w:tcBorders>
              <w:top w:val="single" w:color="auto" w:sz="6" w:space="0"/>
              <w:left w:val="single" w:color="auto" w:sz="12" w:space="0"/>
              <w:bottom w:val="single" w:color="auto" w:sz="12"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厉行节约保障措施</w:t>
            </w:r>
          </w:p>
        </w:tc>
        <w:tc>
          <w:tcPr>
            <w:tcW w:w="6208" w:type="dxa"/>
            <w:gridSpan w:val="6"/>
            <w:tcBorders>
              <w:top w:val="single" w:color="auto" w:sz="6" w:space="0"/>
              <w:left w:val="single" w:color="auto" w:sz="6" w:space="0"/>
              <w:bottom w:val="single" w:color="auto" w:sz="12"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1.加强领导，确保节约落到实处；2.加强宣传，促进正确观念的树立；3.完善机制，确保节约措施的落实；　</w:t>
            </w:r>
          </w:p>
        </w:tc>
      </w:tr>
    </w:tbl>
    <w:p>
      <w:pPr>
        <w:spacing w:line="100" w:lineRule="exact"/>
        <w:jc w:val="left"/>
        <w:rPr>
          <w:rFonts w:hint="default" w:asciiTheme="minorEastAsia" w:hAnsiTheme="minorEastAsia" w:eastAsiaTheme="minorEastAsia" w:cstheme="minorEastAsia"/>
          <w:sz w:val="24"/>
        </w:rPr>
      </w:pPr>
    </w:p>
    <w:p>
      <w:pPr>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说明：“项目支出”需要填报基本支出以外的所有项目支出情况，“公用经费”填报基本支出中的一般商品和服务支出。</w:t>
      </w:r>
    </w:p>
    <w:p>
      <w:pPr>
        <w:spacing w:line="100" w:lineRule="exact"/>
        <w:jc w:val="left"/>
        <w:rPr>
          <w:rFonts w:hint="default" w:asciiTheme="minorEastAsia" w:hAnsiTheme="minorEastAsia" w:eastAsiaTheme="minorEastAsia" w:cstheme="minorEastAsia"/>
          <w:sz w:val="24"/>
        </w:rPr>
      </w:pPr>
    </w:p>
    <w:p>
      <w:pPr>
        <w:spacing w:line="440" w:lineRule="exact"/>
        <w:jc w:val="left"/>
        <w:rPr>
          <w:rFonts w:hint="default" w:eastAsia="黑体"/>
          <w:sz w:val="32"/>
        </w:rPr>
      </w:pPr>
      <w:r>
        <w:rPr>
          <w:rFonts w:asciiTheme="minorEastAsia" w:hAnsiTheme="minorEastAsia" w:eastAsiaTheme="minorEastAsia" w:cstheme="minorEastAsia"/>
          <w:sz w:val="24"/>
        </w:rPr>
        <w:t>填表人：        填报日期：          联系电话：       单位负责人签字：</w:t>
      </w:r>
      <w:r>
        <w:rPr>
          <w:rFonts w:hint="default" w:eastAsia="仿宋_GB2312"/>
          <w:sz w:val="22"/>
        </w:rPr>
        <w:br w:type="page"/>
      </w:r>
      <w:r>
        <w:rPr>
          <w:rFonts w:ascii="黑体" w:hAnsi="黑体" w:eastAsia="黑体" w:cs="黑体"/>
          <w:sz w:val="32"/>
          <w:szCs w:val="32"/>
        </w:rPr>
        <w:t>附件3</w:t>
      </w:r>
    </w:p>
    <w:p>
      <w:pPr>
        <w:spacing w:line="440" w:lineRule="exact"/>
        <w:jc w:val="center"/>
        <w:outlineLvl w:val="1"/>
        <w:rPr>
          <w:rFonts w:hint="default" w:ascii="方正小标宋简体" w:eastAsia="方正小标宋简体"/>
          <w:sz w:val="44"/>
        </w:rPr>
      </w:pPr>
      <w:r>
        <w:rPr>
          <w:rFonts w:ascii="方正小标宋简体" w:eastAsia="方正小标宋简体"/>
          <w:sz w:val="44"/>
        </w:rPr>
        <w:t>2024年度部门整体支出绩效自评表</w:t>
      </w:r>
    </w:p>
    <w:tbl>
      <w:tblPr>
        <w:tblStyle w:val="7"/>
        <w:tblW w:w="931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62"/>
        <w:gridCol w:w="948"/>
        <w:gridCol w:w="930"/>
        <w:gridCol w:w="1078"/>
        <w:gridCol w:w="68"/>
        <w:gridCol w:w="1078"/>
        <w:gridCol w:w="1202"/>
        <w:gridCol w:w="718"/>
        <w:gridCol w:w="884"/>
        <w:gridCol w:w="144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93" w:hRule="atLeast"/>
          <w:jc w:val="center"/>
        </w:trPr>
        <w:tc>
          <w:tcPr>
            <w:tcW w:w="962" w:type="dxa"/>
            <w:tcBorders>
              <w:top w:val="single" w:color="auto" w:sz="12" w:space="0"/>
              <w:left w:val="single" w:color="auto" w:sz="12" w:space="0"/>
              <w:bottom w:val="single" w:color="auto" w:sz="6" w:space="0"/>
              <w:right w:val="single" w:color="auto" w:sz="6" w:space="0"/>
              <w:tl2br w:val="nil"/>
              <w:tr2bl w:val="nil"/>
            </w:tcBorders>
            <w:noWrap/>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县级预算部门名称</w:t>
            </w:r>
          </w:p>
        </w:tc>
        <w:tc>
          <w:tcPr>
            <w:tcW w:w="8349" w:type="dxa"/>
            <w:gridSpan w:val="9"/>
            <w:tcBorders>
              <w:top w:val="single" w:color="auto" w:sz="12" w:space="0"/>
              <w:left w:val="single" w:color="auto" w:sz="6" w:space="0"/>
              <w:bottom w:val="single" w:color="auto" w:sz="6" w:space="0"/>
              <w:right w:val="single" w:color="auto" w:sz="12" w:space="0"/>
              <w:tl2br w:val="nil"/>
              <w:tr2bl w:val="nil"/>
            </w:tcBorders>
            <w:noWrap/>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双牌县市场监督管理局</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46" w:hRule="atLeast"/>
          <w:jc w:val="center"/>
        </w:trPr>
        <w:tc>
          <w:tcPr>
            <w:tcW w:w="962" w:type="dxa"/>
            <w:vMerge w:val="restart"/>
            <w:tcBorders>
              <w:top w:val="single" w:color="auto" w:sz="6" w:space="0"/>
              <w:left w:val="single" w:color="auto" w:sz="12" w:space="0"/>
              <w:bottom w:val="single" w:color="auto" w:sz="6" w:space="0"/>
              <w:right w:val="single" w:color="auto" w:sz="6" w:space="0"/>
              <w:tl2br w:val="nil"/>
              <w:tr2bl w:val="nil"/>
            </w:tcBorders>
            <w:noWrap/>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年度预</w:t>
            </w:r>
          </w:p>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算申请</w:t>
            </w:r>
          </w:p>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（万元）</w:t>
            </w:r>
          </w:p>
        </w:tc>
        <w:tc>
          <w:tcPr>
            <w:tcW w:w="1878"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hint="default" w:asciiTheme="minorEastAsia" w:hAnsiTheme="minorEastAsia" w:eastAsiaTheme="minorEastAsia" w:cstheme="minorEastAsia"/>
                <w:sz w:val="24"/>
              </w:rPr>
            </w:pP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年初预算数</w:t>
            </w:r>
          </w:p>
        </w:tc>
        <w:tc>
          <w:tcPr>
            <w:tcW w:w="107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全年预算数</w:t>
            </w:r>
          </w:p>
        </w:tc>
        <w:tc>
          <w:tcPr>
            <w:tcW w:w="120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全年执行数</w:t>
            </w:r>
          </w:p>
        </w:tc>
        <w:tc>
          <w:tcPr>
            <w:tcW w:w="71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分值</w:t>
            </w:r>
          </w:p>
        </w:tc>
        <w:tc>
          <w:tcPr>
            <w:tcW w:w="88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执行率</w:t>
            </w:r>
          </w:p>
        </w:tc>
        <w:tc>
          <w:tcPr>
            <w:tcW w:w="1443" w:type="dxa"/>
            <w:tcBorders>
              <w:top w:val="single" w:color="auto" w:sz="6" w:space="0"/>
              <w:left w:val="single" w:color="auto" w:sz="6" w:space="0"/>
              <w:bottom w:val="single" w:color="auto" w:sz="6" w:space="0"/>
              <w:right w:val="single" w:color="auto" w:sz="12" w:space="0"/>
              <w:tl2br w:val="nil"/>
              <w:tr2bl w:val="nil"/>
            </w:tcBorders>
            <w:noWrap/>
            <w:vAlign w:val="center"/>
          </w:tcPr>
          <w:p>
            <w:pPr>
              <w:spacing w:line="240" w:lineRule="exact"/>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spacing w:line="240" w:lineRule="exact"/>
              <w:jc w:val="center"/>
              <w:rPr>
                <w:rFonts w:hint="default" w:asciiTheme="minorEastAsia" w:hAnsiTheme="minorEastAsia" w:eastAsiaTheme="minorEastAsia" w:cstheme="minorEastAsia"/>
                <w:color w:val="000000"/>
                <w:sz w:val="24"/>
              </w:rPr>
            </w:pPr>
          </w:p>
        </w:tc>
        <w:tc>
          <w:tcPr>
            <w:tcW w:w="1878"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color w:val="000000"/>
                <w:sz w:val="24"/>
              </w:rPr>
              <w:t>年度资金总额</w:t>
            </w: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1412.31</w:t>
            </w:r>
          </w:p>
        </w:tc>
        <w:tc>
          <w:tcPr>
            <w:tcW w:w="107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color w:val="000000"/>
                <w:sz w:val="24"/>
              </w:rPr>
              <w:t>1332.34</w:t>
            </w:r>
          </w:p>
        </w:tc>
        <w:tc>
          <w:tcPr>
            <w:tcW w:w="120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color w:val="000000"/>
                <w:sz w:val="24"/>
              </w:rPr>
              <w:t>1332.34</w:t>
            </w:r>
          </w:p>
        </w:tc>
        <w:tc>
          <w:tcPr>
            <w:tcW w:w="71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10</w:t>
            </w:r>
          </w:p>
        </w:tc>
        <w:tc>
          <w:tcPr>
            <w:tcW w:w="88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100%</w:t>
            </w:r>
          </w:p>
        </w:tc>
        <w:tc>
          <w:tcPr>
            <w:tcW w:w="1443" w:type="dxa"/>
            <w:tcBorders>
              <w:top w:val="single" w:color="auto" w:sz="6" w:space="0"/>
              <w:left w:val="single" w:color="auto" w:sz="6" w:space="0"/>
              <w:bottom w:val="single" w:color="auto" w:sz="6" w:space="0"/>
              <w:right w:val="single" w:color="auto" w:sz="12" w:space="0"/>
              <w:tl2br w:val="nil"/>
              <w:tr2bl w:val="nil"/>
            </w:tcBorders>
            <w:noWrap/>
            <w:vAlign w:val="center"/>
          </w:tcPr>
          <w:p>
            <w:pPr>
              <w:spacing w:line="240" w:lineRule="exact"/>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spacing w:line="240" w:lineRule="exact"/>
              <w:jc w:val="center"/>
              <w:rPr>
                <w:rFonts w:hint="default" w:asciiTheme="minorEastAsia" w:hAnsiTheme="minorEastAsia" w:eastAsiaTheme="minorEastAsia" w:cstheme="minorEastAsia"/>
                <w:color w:val="000000"/>
                <w:sz w:val="24"/>
              </w:rPr>
            </w:pPr>
          </w:p>
        </w:tc>
        <w:tc>
          <w:tcPr>
            <w:tcW w:w="4102" w:type="dxa"/>
            <w:gridSpan w:val="5"/>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按收入性质分：</w:t>
            </w:r>
          </w:p>
        </w:tc>
        <w:tc>
          <w:tcPr>
            <w:tcW w:w="4247" w:type="dxa"/>
            <w:gridSpan w:val="4"/>
            <w:tcBorders>
              <w:top w:val="single" w:color="auto" w:sz="6" w:space="0"/>
              <w:left w:val="single" w:color="auto" w:sz="6" w:space="0"/>
              <w:bottom w:val="single" w:color="auto" w:sz="6" w:space="0"/>
              <w:right w:val="single" w:color="auto" w:sz="12" w:space="0"/>
              <w:tl2br w:val="nil"/>
              <w:tr2bl w:val="nil"/>
            </w:tcBorders>
            <w:noWrap/>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按支出性质分：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spacing w:line="240" w:lineRule="exact"/>
              <w:jc w:val="center"/>
              <w:rPr>
                <w:rFonts w:hint="default" w:asciiTheme="minorEastAsia" w:hAnsiTheme="minorEastAsia" w:eastAsiaTheme="minorEastAsia" w:cstheme="minorEastAsia"/>
                <w:color w:val="000000"/>
                <w:sz w:val="24"/>
              </w:rPr>
            </w:pPr>
          </w:p>
        </w:tc>
        <w:tc>
          <w:tcPr>
            <w:tcW w:w="4102" w:type="dxa"/>
            <w:gridSpan w:val="5"/>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xml:space="preserve">  其中：  一般公共预算：1332.34</w:t>
            </w:r>
          </w:p>
        </w:tc>
        <w:tc>
          <w:tcPr>
            <w:tcW w:w="4247" w:type="dxa"/>
            <w:gridSpan w:val="4"/>
            <w:tcBorders>
              <w:top w:val="single" w:color="auto" w:sz="6" w:space="0"/>
              <w:left w:val="single" w:color="auto" w:sz="6" w:space="0"/>
              <w:bottom w:val="single" w:color="auto" w:sz="6" w:space="0"/>
              <w:right w:val="single" w:color="auto" w:sz="12" w:space="0"/>
              <w:tl2br w:val="nil"/>
              <w:tr2bl w:val="nil"/>
            </w:tcBorders>
            <w:noWrap/>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其中：基本支出：1010.92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spacing w:line="240" w:lineRule="exact"/>
              <w:jc w:val="center"/>
              <w:rPr>
                <w:rFonts w:hint="default" w:asciiTheme="minorEastAsia" w:hAnsiTheme="minorEastAsia" w:eastAsiaTheme="minorEastAsia" w:cstheme="minorEastAsia"/>
                <w:color w:val="000000"/>
                <w:sz w:val="24"/>
              </w:rPr>
            </w:pPr>
          </w:p>
        </w:tc>
        <w:tc>
          <w:tcPr>
            <w:tcW w:w="4102" w:type="dxa"/>
            <w:gridSpan w:val="5"/>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ind w:firstLine="960" w:firstLineChars="400"/>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政府性基金拨款：</w:t>
            </w:r>
          </w:p>
        </w:tc>
        <w:tc>
          <w:tcPr>
            <w:tcW w:w="4247" w:type="dxa"/>
            <w:gridSpan w:val="4"/>
            <w:tcBorders>
              <w:top w:val="single" w:color="auto" w:sz="6" w:space="0"/>
              <w:left w:val="single" w:color="auto" w:sz="6" w:space="0"/>
              <w:bottom w:val="single" w:color="auto" w:sz="6" w:space="0"/>
              <w:right w:val="single" w:color="auto" w:sz="12" w:space="0"/>
              <w:tl2br w:val="nil"/>
              <w:tr2bl w:val="nil"/>
            </w:tcBorders>
            <w:noWrap/>
            <w:vAlign w:val="center"/>
          </w:tcPr>
          <w:p>
            <w:pPr>
              <w:spacing w:line="240" w:lineRule="exact"/>
              <w:ind w:firstLine="720" w:firstLineChars="300"/>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项目支出：334.5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spacing w:line="240" w:lineRule="exact"/>
              <w:jc w:val="center"/>
              <w:rPr>
                <w:rFonts w:hint="default" w:asciiTheme="minorEastAsia" w:hAnsiTheme="minorEastAsia" w:eastAsiaTheme="minorEastAsia" w:cstheme="minorEastAsia"/>
                <w:color w:val="000000"/>
                <w:sz w:val="24"/>
              </w:rPr>
            </w:pPr>
          </w:p>
        </w:tc>
        <w:tc>
          <w:tcPr>
            <w:tcW w:w="4102" w:type="dxa"/>
            <w:gridSpan w:val="5"/>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纳入专户管理的非税收入拨款：</w:t>
            </w:r>
          </w:p>
        </w:tc>
        <w:tc>
          <w:tcPr>
            <w:tcW w:w="4247" w:type="dxa"/>
            <w:gridSpan w:val="4"/>
            <w:tcBorders>
              <w:top w:val="single" w:color="auto" w:sz="6" w:space="0"/>
              <w:left w:val="single" w:color="auto" w:sz="6" w:space="0"/>
              <w:bottom w:val="single" w:color="auto" w:sz="6" w:space="0"/>
              <w:right w:val="single" w:color="auto" w:sz="12" w:space="0"/>
              <w:tl2br w:val="nil"/>
              <w:tr2bl w:val="nil"/>
            </w:tcBorders>
            <w:noWrap/>
            <w:vAlign w:val="center"/>
          </w:tcPr>
          <w:p>
            <w:pPr>
              <w:spacing w:line="240" w:lineRule="exact"/>
              <w:jc w:val="left"/>
              <w:rPr>
                <w:rFonts w:hint="default" w:asciiTheme="minorEastAsia" w:hAnsiTheme="minorEastAsia" w:eastAsiaTheme="minorEastAsia" w:cstheme="minorEastAsia"/>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spacing w:line="240" w:lineRule="exact"/>
              <w:jc w:val="center"/>
              <w:rPr>
                <w:rFonts w:hint="default" w:asciiTheme="minorEastAsia" w:hAnsiTheme="minorEastAsia" w:eastAsiaTheme="minorEastAsia" w:cstheme="minorEastAsia"/>
                <w:color w:val="000000"/>
                <w:sz w:val="24"/>
              </w:rPr>
            </w:pPr>
          </w:p>
        </w:tc>
        <w:tc>
          <w:tcPr>
            <w:tcW w:w="4102" w:type="dxa"/>
            <w:gridSpan w:val="5"/>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ind w:firstLine="1680" w:firstLineChars="700"/>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其他资金：</w:t>
            </w:r>
          </w:p>
        </w:tc>
        <w:tc>
          <w:tcPr>
            <w:tcW w:w="4247" w:type="dxa"/>
            <w:gridSpan w:val="4"/>
            <w:tcBorders>
              <w:top w:val="single" w:color="auto" w:sz="6" w:space="0"/>
              <w:left w:val="single" w:color="auto" w:sz="6" w:space="0"/>
              <w:bottom w:val="single" w:color="auto" w:sz="6" w:space="0"/>
              <w:right w:val="single" w:color="auto" w:sz="12" w:space="0"/>
              <w:tl2br w:val="nil"/>
              <w:tr2bl w:val="nil"/>
            </w:tcBorders>
            <w:noWrap/>
            <w:vAlign w:val="center"/>
          </w:tcPr>
          <w:p>
            <w:pPr>
              <w:spacing w:line="240" w:lineRule="exact"/>
              <w:jc w:val="left"/>
              <w:rPr>
                <w:rFonts w:hint="default" w:asciiTheme="minorEastAsia" w:hAnsiTheme="minorEastAsia" w:eastAsiaTheme="minorEastAsia" w:cstheme="minorEastAsia"/>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46" w:hRule="atLeast"/>
          <w:jc w:val="center"/>
        </w:trPr>
        <w:tc>
          <w:tcPr>
            <w:tcW w:w="962" w:type="dxa"/>
            <w:vMerge w:val="restart"/>
            <w:tcBorders>
              <w:top w:val="single" w:color="auto" w:sz="6" w:space="0"/>
              <w:left w:val="single" w:color="auto" w:sz="12" w:space="0"/>
              <w:bottom w:val="single" w:color="auto" w:sz="6" w:space="0"/>
              <w:right w:val="single" w:color="auto" w:sz="6" w:space="0"/>
              <w:tl2br w:val="nil"/>
              <w:tr2bl w:val="nil"/>
            </w:tcBorders>
            <w:noWrap/>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年度总体目标</w:t>
            </w:r>
          </w:p>
        </w:tc>
        <w:tc>
          <w:tcPr>
            <w:tcW w:w="4102" w:type="dxa"/>
            <w:gridSpan w:val="5"/>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预期目标</w:t>
            </w:r>
          </w:p>
        </w:tc>
        <w:tc>
          <w:tcPr>
            <w:tcW w:w="4247" w:type="dxa"/>
            <w:gridSpan w:val="4"/>
            <w:tcBorders>
              <w:top w:val="single" w:color="auto" w:sz="6" w:space="0"/>
              <w:left w:val="single" w:color="auto" w:sz="6" w:space="0"/>
              <w:bottom w:val="single" w:color="auto" w:sz="6" w:space="0"/>
              <w:right w:val="single" w:color="auto" w:sz="12" w:space="0"/>
              <w:tl2br w:val="nil"/>
              <w:tr2bl w:val="nil"/>
            </w:tcBorders>
            <w:noWrap/>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实际完成情况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spacing w:line="240" w:lineRule="exact"/>
              <w:jc w:val="center"/>
              <w:rPr>
                <w:rFonts w:hint="default" w:asciiTheme="minorEastAsia" w:hAnsiTheme="minorEastAsia" w:eastAsiaTheme="minorEastAsia" w:cstheme="minorEastAsia"/>
                <w:color w:val="000000"/>
                <w:sz w:val="24"/>
              </w:rPr>
            </w:pPr>
          </w:p>
        </w:tc>
        <w:tc>
          <w:tcPr>
            <w:tcW w:w="4102" w:type="dxa"/>
            <w:gridSpan w:val="5"/>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强化执法力度，营造宽松平等的准入环境、公平竞争的市场环境、安全放心的消费环境　</w:t>
            </w:r>
          </w:p>
        </w:tc>
        <w:tc>
          <w:tcPr>
            <w:tcW w:w="4247" w:type="dxa"/>
            <w:gridSpan w:val="4"/>
            <w:tcBorders>
              <w:top w:val="single" w:color="auto" w:sz="6" w:space="0"/>
              <w:left w:val="single" w:color="auto" w:sz="6" w:space="0"/>
              <w:bottom w:val="single" w:color="auto" w:sz="6" w:space="0"/>
              <w:right w:val="single" w:color="auto" w:sz="12" w:space="0"/>
              <w:tl2br w:val="nil"/>
              <w:tr2bl w:val="nil"/>
            </w:tcBorders>
            <w:noWrap/>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强化执法力度，营造宽松平等的准入环境、公平竞争的市场环境、安全放心的消费环境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93" w:hRule="atLeast"/>
          <w:jc w:val="center"/>
        </w:trPr>
        <w:tc>
          <w:tcPr>
            <w:tcW w:w="962" w:type="dxa"/>
            <w:vMerge w:val="restart"/>
            <w:tcBorders>
              <w:top w:val="single" w:color="auto" w:sz="6" w:space="0"/>
              <w:left w:val="single" w:color="auto" w:sz="12" w:space="0"/>
              <w:bottom w:val="single" w:color="auto" w:sz="6" w:space="0"/>
              <w:right w:val="single" w:color="auto" w:sz="6" w:space="0"/>
              <w:tl2br w:val="nil"/>
              <w:tr2bl w:val="nil"/>
            </w:tcBorders>
            <w:noWrap/>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绩</w:t>
            </w:r>
          </w:p>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效</w:t>
            </w:r>
          </w:p>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指</w:t>
            </w:r>
          </w:p>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标</w:t>
            </w:r>
          </w:p>
          <w:p>
            <w:pPr>
              <w:spacing w:line="240" w:lineRule="exact"/>
              <w:jc w:val="center"/>
              <w:rPr>
                <w:rFonts w:hint="default" w:asciiTheme="minorEastAsia" w:hAnsiTheme="minorEastAsia" w:eastAsiaTheme="minorEastAsia" w:cstheme="minorEastAsia"/>
                <w:color w:val="000000"/>
                <w:sz w:val="24"/>
              </w:rPr>
            </w:pPr>
          </w:p>
        </w:tc>
        <w:tc>
          <w:tcPr>
            <w:tcW w:w="94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一级指标</w:t>
            </w:r>
          </w:p>
        </w:tc>
        <w:tc>
          <w:tcPr>
            <w:tcW w:w="93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二级指标</w:t>
            </w:r>
          </w:p>
        </w:tc>
        <w:tc>
          <w:tcPr>
            <w:tcW w:w="107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三级指标</w:t>
            </w: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年度指标值</w:t>
            </w:r>
          </w:p>
        </w:tc>
        <w:tc>
          <w:tcPr>
            <w:tcW w:w="120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实际完成值</w:t>
            </w:r>
          </w:p>
        </w:tc>
        <w:tc>
          <w:tcPr>
            <w:tcW w:w="71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分值</w:t>
            </w:r>
          </w:p>
        </w:tc>
        <w:tc>
          <w:tcPr>
            <w:tcW w:w="88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得分</w:t>
            </w:r>
          </w:p>
        </w:tc>
        <w:tc>
          <w:tcPr>
            <w:tcW w:w="1443" w:type="dxa"/>
            <w:tcBorders>
              <w:top w:val="single" w:color="auto" w:sz="6" w:space="0"/>
              <w:left w:val="single" w:color="auto" w:sz="6" w:space="0"/>
              <w:bottom w:val="single" w:color="auto" w:sz="6" w:space="0"/>
              <w:right w:val="single" w:color="auto" w:sz="12" w:space="0"/>
              <w:tl2br w:val="nil"/>
              <w:tr2bl w:val="nil"/>
            </w:tcBorders>
            <w:noWrap/>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偏差原因分析及改进措施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spacing w:line="240" w:lineRule="exact"/>
              <w:jc w:val="left"/>
              <w:rPr>
                <w:rFonts w:hint="default" w:asciiTheme="minorEastAsia" w:hAnsiTheme="minorEastAsia" w:eastAsiaTheme="minorEastAsia" w:cstheme="minorEastAsia"/>
                <w:color w:val="000000"/>
                <w:sz w:val="24"/>
              </w:rPr>
            </w:pPr>
          </w:p>
        </w:tc>
        <w:tc>
          <w:tcPr>
            <w:tcW w:w="948" w:type="dxa"/>
            <w:vMerge w:val="restart"/>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产出指标</w:t>
            </w:r>
          </w:p>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(50分)</w:t>
            </w:r>
          </w:p>
        </w:tc>
        <w:tc>
          <w:tcPr>
            <w:tcW w:w="930" w:type="dxa"/>
            <w:vMerge w:val="restart"/>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重点工作</w:t>
            </w:r>
          </w:p>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任务完成</w:t>
            </w:r>
          </w:p>
        </w:tc>
        <w:tc>
          <w:tcPr>
            <w:tcW w:w="107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药品医疗器械监督检查覆盖率</w:t>
            </w: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100%</w:t>
            </w:r>
          </w:p>
        </w:tc>
        <w:tc>
          <w:tcPr>
            <w:tcW w:w="120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100%</w:t>
            </w:r>
          </w:p>
        </w:tc>
        <w:tc>
          <w:tcPr>
            <w:tcW w:w="71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10</w:t>
            </w:r>
          </w:p>
        </w:tc>
        <w:tc>
          <w:tcPr>
            <w:tcW w:w="88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10</w:t>
            </w:r>
          </w:p>
        </w:tc>
        <w:tc>
          <w:tcPr>
            <w:tcW w:w="1443" w:type="dxa"/>
            <w:tcBorders>
              <w:top w:val="single" w:color="auto" w:sz="6" w:space="0"/>
              <w:left w:val="single" w:color="auto" w:sz="6" w:space="0"/>
              <w:bottom w:val="single" w:color="auto" w:sz="6" w:space="0"/>
              <w:right w:val="single" w:color="auto" w:sz="12" w:space="0"/>
              <w:tl2br w:val="nil"/>
              <w:tr2bl w:val="nil"/>
            </w:tcBorders>
            <w:noWrap/>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spacing w:line="240" w:lineRule="exact"/>
              <w:jc w:val="left"/>
              <w:rPr>
                <w:rFonts w:hint="default" w:asciiTheme="minorEastAsia" w:hAnsiTheme="minorEastAsia" w:eastAsiaTheme="minorEastAsia" w:cstheme="minorEastAsia"/>
                <w:color w:val="000000"/>
                <w:sz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left"/>
              <w:rPr>
                <w:rFonts w:hint="default" w:asciiTheme="minorEastAsia" w:hAnsiTheme="minorEastAsia" w:eastAsiaTheme="minorEastAsia" w:cstheme="minorEastAsia"/>
                <w:color w:val="000000"/>
                <w:sz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hint="default" w:asciiTheme="minorEastAsia" w:hAnsiTheme="minorEastAsia" w:eastAsiaTheme="minorEastAsia" w:cstheme="minorEastAsia"/>
                <w:color w:val="000000"/>
                <w:sz w:val="24"/>
              </w:rPr>
            </w:pPr>
          </w:p>
        </w:tc>
        <w:tc>
          <w:tcPr>
            <w:tcW w:w="107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食用农产品不合格产品后处理率</w:t>
            </w: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100%</w:t>
            </w:r>
          </w:p>
        </w:tc>
        <w:tc>
          <w:tcPr>
            <w:tcW w:w="120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100%</w:t>
            </w:r>
          </w:p>
        </w:tc>
        <w:tc>
          <w:tcPr>
            <w:tcW w:w="71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10</w:t>
            </w:r>
          </w:p>
        </w:tc>
        <w:tc>
          <w:tcPr>
            <w:tcW w:w="88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10</w:t>
            </w:r>
          </w:p>
        </w:tc>
        <w:tc>
          <w:tcPr>
            <w:tcW w:w="1443" w:type="dxa"/>
            <w:tcBorders>
              <w:top w:val="single" w:color="auto" w:sz="6" w:space="0"/>
              <w:left w:val="single" w:color="auto" w:sz="6" w:space="0"/>
              <w:bottom w:val="single" w:color="auto" w:sz="6" w:space="0"/>
              <w:right w:val="single" w:color="auto" w:sz="12" w:space="0"/>
              <w:tl2br w:val="nil"/>
              <w:tr2bl w:val="nil"/>
            </w:tcBorders>
            <w:noWrap/>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spacing w:line="240" w:lineRule="exact"/>
              <w:jc w:val="left"/>
              <w:rPr>
                <w:rFonts w:hint="default" w:asciiTheme="minorEastAsia" w:hAnsiTheme="minorEastAsia" w:eastAsiaTheme="minorEastAsia" w:cstheme="minorEastAsia"/>
                <w:color w:val="000000"/>
                <w:sz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left"/>
              <w:rPr>
                <w:rFonts w:hint="default" w:asciiTheme="minorEastAsia" w:hAnsiTheme="minorEastAsia" w:eastAsiaTheme="minorEastAsia" w:cstheme="minorEastAsia"/>
                <w:color w:val="000000"/>
                <w:sz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hint="default" w:asciiTheme="minorEastAsia" w:hAnsiTheme="minorEastAsia" w:eastAsiaTheme="minorEastAsia" w:cstheme="minorEastAsia"/>
                <w:color w:val="000000"/>
                <w:sz w:val="24"/>
              </w:rPr>
            </w:pPr>
          </w:p>
        </w:tc>
        <w:tc>
          <w:tcPr>
            <w:tcW w:w="107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0"/>
                <w:szCs w:val="20"/>
              </w:rPr>
              <w:t>开展餐饮单位量化评级工作，量化分级管理率</w:t>
            </w: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98%</w:t>
            </w:r>
          </w:p>
        </w:tc>
        <w:tc>
          <w:tcPr>
            <w:tcW w:w="120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98%</w:t>
            </w:r>
          </w:p>
        </w:tc>
        <w:tc>
          <w:tcPr>
            <w:tcW w:w="71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10</w:t>
            </w:r>
          </w:p>
        </w:tc>
        <w:tc>
          <w:tcPr>
            <w:tcW w:w="88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10</w:t>
            </w:r>
          </w:p>
        </w:tc>
        <w:tc>
          <w:tcPr>
            <w:tcW w:w="1443" w:type="dxa"/>
            <w:tcBorders>
              <w:top w:val="single" w:color="auto" w:sz="6" w:space="0"/>
              <w:left w:val="single" w:color="auto" w:sz="6" w:space="0"/>
              <w:bottom w:val="single" w:color="auto" w:sz="6" w:space="0"/>
              <w:right w:val="single" w:color="auto" w:sz="12" w:space="0"/>
              <w:tl2br w:val="nil"/>
              <w:tr2bl w:val="nil"/>
            </w:tcBorders>
            <w:noWrap/>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spacing w:line="240" w:lineRule="exact"/>
              <w:jc w:val="left"/>
              <w:rPr>
                <w:rFonts w:hint="default" w:asciiTheme="minorEastAsia" w:hAnsiTheme="minorEastAsia" w:eastAsiaTheme="minorEastAsia" w:cstheme="minorEastAsia"/>
                <w:color w:val="000000"/>
                <w:sz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left"/>
              <w:rPr>
                <w:rFonts w:hint="default" w:asciiTheme="minorEastAsia" w:hAnsiTheme="minorEastAsia" w:eastAsiaTheme="minorEastAsia" w:cstheme="minorEastAsia"/>
                <w:color w:val="000000"/>
                <w:sz w:val="24"/>
              </w:rPr>
            </w:pPr>
          </w:p>
        </w:tc>
        <w:tc>
          <w:tcPr>
            <w:tcW w:w="930" w:type="dxa"/>
            <w:vMerge w:val="restart"/>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履职目</w:t>
            </w:r>
          </w:p>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标实现</w:t>
            </w:r>
          </w:p>
        </w:tc>
        <w:tc>
          <w:tcPr>
            <w:tcW w:w="107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0"/>
                <w:szCs w:val="20"/>
              </w:rPr>
              <w:t>重要工业产品质量监督抽查合格率</w:t>
            </w: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90%</w:t>
            </w:r>
          </w:p>
        </w:tc>
        <w:tc>
          <w:tcPr>
            <w:tcW w:w="120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95%</w:t>
            </w:r>
          </w:p>
        </w:tc>
        <w:tc>
          <w:tcPr>
            <w:tcW w:w="71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10</w:t>
            </w:r>
          </w:p>
        </w:tc>
        <w:tc>
          <w:tcPr>
            <w:tcW w:w="88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10</w:t>
            </w:r>
          </w:p>
        </w:tc>
        <w:tc>
          <w:tcPr>
            <w:tcW w:w="1443" w:type="dxa"/>
            <w:tcBorders>
              <w:top w:val="single" w:color="auto" w:sz="6" w:space="0"/>
              <w:left w:val="single" w:color="auto" w:sz="6" w:space="0"/>
              <w:bottom w:val="single" w:color="auto" w:sz="6" w:space="0"/>
              <w:right w:val="single" w:color="auto" w:sz="12" w:space="0"/>
              <w:tl2br w:val="nil"/>
              <w:tr2bl w:val="nil"/>
            </w:tcBorders>
            <w:noWrap/>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spacing w:line="240" w:lineRule="exact"/>
              <w:jc w:val="left"/>
              <w:rPr>
                <w:rFonts w:hint="default" w:asciiTheme="minorEastAsia" w:hAnsiTheme="minorEastAsia" w:eastAsiaTheme="minorEastAsia" w:cstheme="minorEastAsia"/>
                <w:color w:val="000000"/>
                <w:sz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left"/>
              <w:rPr>
                <w:rFonts w:hint="default" w:asciiTheme="minorEastAsia" w:hAnsiTheme="minorEastAsia" w:eastAsiaTheme="minorEastAsia" w:cstheme="minorEastAsia"/>
                <w:color w:val="000000"/>
                <w:sz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hint="default" w:asciiTheme="minorEastAsia" w:hAnsiTheme="minorEastAsia" w:eastAsiaTheme="minorEastAsia" w:cstheme="minorEastAsia"/>
                <w:color w:val="000000"/>
                <w:sz w:val="24"/>
              </w:rPr>
            </w:pPr>
          </w:p>
        </w:tc>
        <w:tc>
          <w:tcPr>
            <w:tcW w:w="107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支出时效</w:t>
            </w: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2024.12</w:t>
            </w:r>
          </w:p>
        </w:tc>
        <w:tc>
          <w:tcPr>
            <w:tcW w:w="120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2024.12</w:t>
            </w:r>
          </w:p>
        </w:tc>
        <w:tc>
          <w:tcPr>
            <w:tcW w:w="71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5</w:t>
            </w:r>
          </w:p>
        </w:tc>
        <w:tc>
          <w:tcPr>
            <w:tcW w:w="88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5</w:t>
            </w:r>
          </w:p>
        </w:tc>
        <w:tc>
          <w:tcPr>
            <w:tcW w:w="1443" w:type="dxa"/>
            <w:tcBorders>
              <w:top w:val="single" w:color="auto" w:sz="6" w:space="0"/>
              <w:left w:val="single" w:color="auto" w:sz="6" w:space="0"/>
              <w:bottom w:val="single" w:color="auto" w:sz="6" w:space="0"/>
              <w:right w:val="single" w:color="auto" w:sz="12" w:space="0"/>
              <w:tl2br w:val="nil"/>
              <w:tr2bl w:val="nil"/>
            </w:tcBorders>
            <w:noWrap/>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spacing w:line="240" w:lineRule="exact"/>
              <w:jc w:val="left"/>
              <w:rPr>
                <w:rFonts w:hint="default" w:asciiTheme="minorEastAsia" w:hAnsiTheme="minorEastAsia" w:eastAsiaTheme="minorEastAsia" w:cstheme="minorEastAsia"/>
                <w:color w:val="000000"/>
                <w:sz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left"/>
              <w:rPr>
                <w:rFonts w:hint="default" w:asciiTheme="minorEastAsia" w:hAnsiTheme="minorEastAsia" w:eastAsiaTheme="minorEastAsia" w:cstheme="minorEastAsia"/>
                <w:color w:val="000000"/>
                <w:sz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hint="default" w:asciiTheme="minorEastAsia" w:hAnsiTheme="minorEastAsia" w:eastAsiaTheme="minorEastAsia" w:cstheme="minorEastAsia"/>
                <w:color w:val="000000"/>
                <w:sz w:val="24"/>
              </w:rPr>
            </w:pPr>
          </w:p>
        </w:tc>
        <w:tc>
          <w:tcPr>
            <w:tcW w:w="107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支出控制在预算内</w:t>
            </w: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良好</w:t>
            </w:r>
          </w:p>
        </w:tc>
        <w:tc>
          <w:tcPr>
            <w:tcW w:w="120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良好</w:t>
            </w:r>
          </w:p>
        </w:tc>
        <w:tc>
          <w:tcPr>
            <w:tcW w:w="71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5</w:t>
            </w:r>
          </w:p>
        </w:tc>
        <w:tc>
          <w:tcPr>
            <w:tcW w:w="88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5</w:t>
            </w:r>
          </w:p>
        </w:tc>
        <w:tc>
          <w:tcPr>
            <w:tcW w:w="1443" w:type="dxa"/>
            <w:tcBorders>
              <w:top w:val="single" w:color="auto" w:sz="6" w:space="0"/>
              <w:left w:val="single" w:color="auto" w:sz="6" w:space="0"/>
              <w:bottom w:val="single" w:color="auto" w:sz="6" w:space="0"/>
              <w:right w:val="single" w:color="auto" w:sz="12" w:space="0"/>
              <w:tl2br w:val="nil"/>
              <w:tr2bl w:val="nil"/>
            </w:tcBorders>
            <w:noWrap/>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spacing w:line="240" w:lineRule="exact"/>
              <w:jc w:val="left"/>
              <w:rPr>
                <w:rFonts w:hint="default" w:asciiTheme="minorEastAsia" w:hAnsiTheme="minorEastAsia" w:eastAsiaTheme="minorEastAsia" w:cstheme="minorEastAsia"/>
                <w:color w:val="000000"/>
                <w:sz w:val="24"/>
              </w:rPr>
            </w:pPr>
          </w:p>
        </w:tc>
        <w:tc>
          <w:tcPr>
            <w:tcW w:w="948" w:type="dxa"/>
            <w:vMerge w:val="restart"/>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效益指标</w:t>
            </w:r>
          </w:p>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（40分）</w:t>
            </w:r>
          </w:p>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p>
            <w:pPr>
              <w:spacing w:line="240" w:lineRule="exact"/>
              <w:jc w:val="center"/>
              <w:rPr>
                <w:rFonts w:hint="default" w:asciiTheme="minorEastAsia" w:hAnsiTheme="minorEastAsia" w:eastAsiaTheme="minorEastAsia" w:cstheme="minorEastAsia"/>
                <w:color w:val="000000"/>
                <w:sz w:val="24"/>
              </w:rPr>
            </w:pPr>
          </w:p>
        </w:tc>
        <w:tc>
          <w:tcPr>
            <w:tcW w:w="930" w:type="dxa"/>
            <w:vMerge w:val="restart"/>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履职</w:t>
            </w:r>
          </w:p>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效益</w:t>
            </w:r>
          </w:p>
        </w:tc>
        <w:tc>
          <w:tcPr>
            <w:tcW w:w="107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促进市场稳步发展</w:t>
            </w: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良好</w:t>
            </w:r>
          </w:p>
        </w:tc>
        <w:tc>
          <w:tcPr>
            <w:tcW w:w="120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良好</w:t>
            </w:r>
          </w:p>
        </w:tc>
        <w:tc>
          <w:tcPr>
            <w:tcW w:w="71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8</w:t>
            </w:r>
          </w:p>
        </w:tc>
        <w:tc>
          <w:tcPr>
            <w:tcW w:w="88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8</w:t>
            </w:r>
          </w:p>
        </w:tc>
        <w:tc>
          <w:tcPr>
            <w:tcW w:w="1443" w:type="dxa"/>
            <w:tcBorders>
              <w:top w:val="single" w:color="auto" w:sz="6" w:space="0"/>
              <w:left w:val="single" w:color="auto" w:sz="6" w:space="0"/>
              <w:bottom w:val="single" w:color="auto" w:sz="6" w:space="0"/>
              <w:right w:val="single" w:color="auto" w:sz="12" w:space="0"/>
              <w:tl2br w:val="nil"/>
              <w:tr2bl w:val="nil"/>
            </w:tcBorders>
            <w:noWrap/>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spacing w:line="240" w:lineRule="exact"/>
              <w:jc w:val="left"/>
              <w:rPr>
                <w:rFonts w:hint="default" w:asciiTheme="minorEastAsia" w:hAnsiTheme="minorEastAsia" w:eastAsiaTheme="minorEastAsia" w:cstheme="minorEastAsia"/>
                <w:color w:val="000000"/>
                <w:sz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left"/>
              <w:rPr>
                <w:rFonts w:hint="default" w:asciiTheme="minorEastAsia" w:hAnsiTheme="minorEastAsia" w:eastAsiaTheme="minorEastAsia" w:cstheme="minorEastAsia"/>
                <w:color w:val="000000"/>
                <w:sz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hint="default" w:asciiTheme="minorEastAsia" w:hAnsiTheme="minorEastAsia" w:eastAsiaTheme="minorEastAsia" w:cstheme="minorEastAsia"/>
                <w:color w:val="000000"/>
                <w:sz w:val="24"/>
              </w:rPr>
            </w:pPr>
          </w:p>
        </w:tc>
        <w:tc>
          <w:tcPr>
            <w:tcW w:w="107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维护消费者权益</w:t>
            </w: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良好</w:t>
            </w:r>
          </w:p>
        </w:tc>
        <w:tc>
          <w:tcPr>
            <w:tcW w:w="120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良好</w:t>
            </w:r>
          </w:p>
        </w:tc>
        <w:tc>
          <w:tcPr>
            <w:tcW w:w="71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8</w:t>
            </w:r>
          </w:p>
        </w:tc>
        <w:tc>
          <w:tcPr>
            <w:tcW w:w="88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8</w:t>
            </w:r>
          </w:p>
        </w:tc>
        <w:tc>
          <w:tcPr>
            <w:tcW w:w="1443" w:type="dxa"/>
            <w:tcBorders>
              <w:top w:val="single" w:color="auto" w:sz="6" w:space="0"/>
              <w:left w:val="single" w:color="auto" w:sz="6" w:space="0"/>
              <w:bottom w:val="single" w:color="auto" w:sz="6" w:space="0"/>
              <w:right w:val="single" w:color="auto" w:sz="12" w:space="0"/>
              <w:tl2br w:val="nil"/>
              <w:tr2bl w:val="nil"/>
            </w:tcBorders>
            <w:noWrap/>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spacing w:line="240" w:lineRule="exact"/>
              <w:jc w:val="left"/>
              <w:rPr>
                <w:rFonts w:hint="default" w:asciiTheme="minorEastAsia" w:hAnsiTheme="minorEastAsia" w:eastAsiaTheme="minorEastAsia" w:cstheme="minorEastAsia"/>
                <w:color w:val="000000"/>
                <w:sz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left"/>
              <w:rPr>
                <w:rFonts w:hint="default" w:asciiTheme="minorEastAsia" w:hAnsiTheme="minorEastAsia" w:eastAsiaTheme="minorEastAsia" w:cstheme="minorEastAsia"/>
                <w:color w:val="000000"/>
                <w:sz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hint="default" w:asciiTheme="minorEastAsia" w:hAnsiTheme="minorEastAsia" w:eastAsiaTheme="minorEastAsia" w:cstheme="minorEastAsia"/>
                <w:color w:val="000000"/>
                <w:sz w:val="24"/>
              </w:rPr>
            </w:pPr>
          </w:p>
        </w:tc>
        <w:tc>
          <w:tcPr>
            <w:tcW w:w="107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维护生态和谐</w:t>
            </w: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良好</w:t>
            </w:r>
          </w:p>
        </w:tc>
        <w:tc>
          <w:tcPr>
            <w:tcW w:w="120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良好</w:t>
            </w:r>
          </w:p>
        </w:tc>
        <w:tc>
          <w:tcPr>
            <w:tcW w:w="71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8</w:t>
            </w:r>
          </w:p>
        </w:tc>
        <w:tc>
          <w:tcPr>
            <w:tcW w:w="88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8</w:t>
            </w:r>
          </w:p>
        </w:tc>
        <w:tc>
          <w:tcPr>
            <w:tcW w:w="1443" w:type="dxa"/>
            <w:tcBorders>
              <w:top w:val="single" w:color="auto" w:sz="6" w:space="0"/>
              <w:left w:val="single" w:color="auto" w:sz="6" w:space="0"/>
              <w:bottom w:val="single" w:color="auto" w:sz="6" w:space="0"/>
              <w:right w:val="single" w:color="auto" w:sz="12" w:space="0"/>
              <w:tl2br w:val="nil"/>
              <w:tr2bl w:val="nil"/>
            </w:tcBorders>
            <w:noWrap/>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spacing w:line="240" w:lineRule="exact"/>
              <w:jc w:val="left"/>
              <w:rPr>
                <w:rFonts w:hint="default" w:asciiTheme="minorEastAsia" w:hAnsiTheme="minorEastAsia" w:eastAsiaTheme="minorEastAsia" w:cstheme="minorEastAsia"/>
                <w:color w:val="000000"/>
                <w:sz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left"/>
              <w:rPr>
                <w:rFonts w:hint="default" w:asciiTheme="minorEastAsia" w:hAnsiTheme="minorEastAsia" w:eastAsiaTheme="minorEastAsia" w:cstheme="minorEastAsia"/>
                <w:color w:val="000000"/>
                <w:sz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hint="default" w:asciiTheme="minorEastAsia" w:hAnsiTheme="minorEastAsia" w:eastAsiaTheme="minorEastAsia" w:cstheme="minorEastAsia"/>
                <w:color w:val="000000"/>
                <w:sz w:val="24"/>
              </w:rPr>
            </w:pPr>
          </w:p>
        </w:tc>
        <w:tc>
          <w:tcPr>
            <w:tcW w:w="107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促进可持续发展</w:t>
            </w: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良好</w:t>
            </w:r>
          </w:p>
        </w:tc>
        <w:tc>
          <w:tcPr>
            <w:tcW w:w="120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良好</w:t>
            </w:r>
          </w:p>
        </w:tc>
        <w:tc>
          <w:tcPr>
            <w:tcW w:w="71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8</w:t>
            </w:r>
          </w:p>
        </w:tc>
        <w:tc>
          <w:tcPr>
            <w:tcW w:w="88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8</w:t>
            </w:r>
          </w:p>
        </w:tc>
        <w:tc>
          <w:tcPr>
            <w:tcW w:w="1443" w:type="dxa"/>
            <w:tcBorders>
              <w:top w:val="single" w:color="auto" w:sz="6" w:space="0"/>
              <w:left w:val="single" w:color="auto" w:sz="6" w:space="0"/>
              <w:bottom w:val="single" w:color="auto" w:sz="6" w:space="0"/>
              <w:right w:val="single" w:color="auto" w:sz="12" w:space="0"/>
              <w:tl2br w:val="nil"/>
              <w:tr2bl w:val="nil"/>
            </w:tcBorders>
            <w:noWrap/>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39"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spacing w:line="240" w:lineRule="exact"/>
              <w:jc w:val="left"/>
              <w:rPr>
                <w:rFonts w:hint="default" w:asciiTheme="minorEastAsia" w:hAnsiTheme="minorEastAsia" w:eastAsiaTheme="minorEastAsia" w:cstheme="minorEastAsia"/>
                <w:color w:val="000000"/>
                <w:sz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hint="default" w:asciiTheme="minorEastAsia" w:hAnsiTheme="minorEastAsia" w:eastAsiaTheme="minorEastAsia" w:cstheme="minorEastAsia"/>
                <w:color w:val="000000"/>
                <w:sz w:val="24"/>
              </w:rPr>
            </w:pPr>
          </w:p>
        </w:tc>
        <w:tc>
          <w:tcPr>
            <w:tcW w:w="93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满意度</w:t>
            </w:r>
          </w:p>
        </w:tc>
        <w:tc>
          <w:tcPr>
            <w:tcW w:w="107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群众满意度</w:t>
            </w: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良好</w:t>
            </w:r>
          </w:p>
        </w:tc>
        <w:tc>
          <w:tcPr>
            <w:tcW w:w="120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良好</w:t>
            </w:r>
          </w:p>
        </w:tc>
        <w:tc>
          <w:tcPr>
            <w:tcW w:w="71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8</w:t>
            </w:r>
          </w:p>
        </w:tc>
        <w:tc>
          <w:tcPr>
            <w:tcW w:w="88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8</w:t>
            </w:r>
          </w:p>
        </w:tc>
        <w:tc>
          <w:tcPr>
            <w:tcW w:w="1443" w:type="dxa"/>
            <w:tcBorders>
              <w:top w:val="single" w:color="auto" w:sz="6" w:space="0"/>
              <w:left w:val="single" w:color="auto" w:sz="6" w:space="0"/>
              <w:bottom w:val="single" w:color="auto" w:sz="6" w:space="0"/>
              <w:right w:val="single" w:color="auto" w:sz="12" w:space="0"/>
              <w:tl2br w:val="nil"/>
              <w:tr2bl w:val="nil"/>
            </w:tcBorders>
            <w:noWrap/>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7" w:hRule="atLeast"/>
          <w:jc w:val="center"/>
        </w:trPr>
        <w:tc>
          <w:tcPr>
            <w:tcW w:w="6266" w:type="dxa"/>
            <w:gridSpan w:val="7"/>
            <w:tcBorders>
              <w:top w:val="single" w:color="auto" w:sz="6" w:space="0"/>
              <w:left w:val="single" w:color="auto" w:sz="12" w:space="0"/>
              <w:bottom w:val="single" w:color="auto" w:sz="12" w:space="0"/>
              <w:right w:val="single" w:color="auto" w:sz="6" w:space="0"/>
              <w:tl2br w:val="nil"/>
              <w:tr2bl w:val="nil"/>
            </w:tcBorders>
            <w:noWrap/>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总分</w:t>
            </w:r>
          </w:p>
        </w:tc>
        <w:tc>
          <w:tcPr>
            <w:tcW w:w="718" w:type="dxa"/>
            <w:tcBorders>
              <w:top w:val="single" w:color="auto" w:sz="6" w:space="0"/>
              <w:left w:val="single" w:color="auto" w:sz="6" w:space="0"/>
              <w:bottom w:val="single" w:color="auto" w:sz="12" w:space="0"/>
              <w:right w:val="single" w:color="auto" w:sz="6" w:space="0"/>
              <w:tl2br w:val="nil"/>
              <w:tr2bl w:val="nil"/>
            </w:tcBorders>
            <w:noWrap/>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100</w:t>
            </w:r>
          </w:p>
        </w:tc>
        <w:tc>
          <w:tcPr>
            <w:tcW w:w="884" w:type="dxa"/>
            <w:tcBorders>
              <w:top w:val="single" w:color="auto" w:sz="6" w:space="0"/>
              <w:left w:val="single" w:color="auto" w:sz="6" w:space="0"/>
              <w:bottom w:val="single" w:color="auto" w:sz="12" w:space="0"/>
              <w:right w:val="single" w:color="auto" w:sz="6" w:space="0"/>
              <w:tl2br w:val="nil"/>
              <w:tr2bl w:val="nil"/>
            </w:tcBorders>
            <w:noWrap/>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100</w:t>
            </w:r>
          </w:p>
        </w:tc>
        <w:tc>
          <w:tcPr>
            <w:tcW w:w="1443" w:type="dxa"/>
            <w:tcBorders>
              <w:top w:val="single" w:color="auto" w:sz="6" w:space="0"/>
              <w:left w:val="single" w:color="auto" w:sz="6" w:space="0"/>
              <w:bottom w:val="single" w:color="auto" w:sz="12" w:space="0"/>
              <w:right w:val="single" w:color="auto" w:sz="12" w:space="0"/>
              <w:tl2br w:val="nil"/>
              <w:tr2bl w:val="nil"/>
            </w:tcBorders>
            <w:noWrap/>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无</w:t>
            </w:r>
          </w:p>
        </w:tc>
      </w:tr>
    </w:tbl>
    <w:p>
      <w:pPr>
        <w:rPr>
          <w:rFonts w:eastAsia="仿宋_GB2312"/>
          <w:sz w:val="22"/>
        </w:rPr>
      </w:pPr>
      <w:r>
        <w:rPr>
          <w:rFonts w:eastAsia="仿宋_GB2312"/>
          <w:sz w:val="22"/>
        </w:rPr>
        <w:t>填表人：        填报日期：       联系电话：        单位负责人签字：</w:t>
      </w:r>
    </w:p>
    <w:p>
      <w:pPr>
        <w:rPr>
          <w:rFonts w:eastAsia="仿宋_GB2312"/>
          <w:sz w:val="22"/>
        </w:rPr>
      </w:pPr>
    </w:p>
    <w:p>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outlineLvl w:val="1"/>
        <w:rPr>
          <w:rFonts w:hint="eastAsia" w:ascii="方正小标宋简体" w:eastAsia="方正小标宋简体"/>
          <w:sz w:val="44"/>
          <w:szCs w:val="24"/>
        </w:rPr>
      </w:pPr>
      <w:r>
        <w:rPr>
          <w:rFonts w:hint="eastAsia" w:ascii="方正小标宋简体" w:eastAsia="方正小标宋简体"/>
          <w:sz w:val="44"/>
          <w:szCs w:val="24"/>
        </w:rPr>
        <w:t>202</w:t>
      </w:r>
      <w:r>
        <w:rPr>
          <w:rFonts w:hint="eastAsia" w:ascii="方正小标宋简体" w:eastAsia="方正小标宋简体"/>
          <w:sz w:val="44"/>
          <w:szCs w:val="24"/>
          <w:lang w:val="en-US" w:eastAsia="zh-CN"/>
        </w:rPr>
        <w:t>4</w:t>
      </w:r>
      <w:r>
        <w:rPr>
          <w:rFonts w:hint="eastAsia" w:ascii="方正小标宋简体" w:eastAsia="方正小标宋简体"/>
          <w:sz w:val="44"/>
          <w:szCs w:val="24"/>
        </w:rPr>
        <w:t>年度项目支出绩效自评报告</w:t>
      </w:r>
    </w:p>
    <w:tbl>
      <w:tblPr>
        <w:tblStyle w:val="7"/>
        <w:tblpPr w:leftFromText="180" w:rightFromText="180" w:vertAnchor="text" w:horzAnchor="margin" w:tblpXSpec="center" w:tblpY="189"/>
        <w:tblW w:w="917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59"/>
        <w:gridCol w:w="1975"/>
        <w:gridCol w:w="564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7" w:hRule="atLeast"/>
        </w:trPr>
        <w:tc>
          <w:tcPr>
            <w:tcW w:w="1559" w:type="dxa"/>
            <w:vMerge w:val="restart"/>
            <w:tcBorders>
              <w:top w:val="single" w:color="auto" w:sz="12"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部门概况</w:t>
            </w:r>
          </w:p>
        </w:tc>
        <w:tc>
          <w:tcPr>
            <w:tcW w:w="1975" w:type="dxa"/>
            <w:tcBorders>
              <w:top w:val="single" w:color="auto" w:sz="12"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专项名称</w:t>
            </w:r>
          </w:p>
        </w:tc>
        <w:tc>
          <w:tcPr>
            <w:tcW w:w="5645" w:type="dxa"/>
            <w:tcBorders>
              <w:top w:val="single" w:color="auto" w:sz="12"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工业企业产品质量检测</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年度预算金额</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项目主管部门</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双牌县市场监督管理局</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项目立项目的</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提高执法能力，抓好监管工作</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50" w:hRule="atLeast"/>
        </w:trPr>
        <w:tc>
          <w:tcPr>
            <w:tcW w:w="1559"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绩效情况</w:t>
            </w: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项目支出管理和使用基本情况</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每年采样去市里抽检的差旅费，采样买样的费用以及其他相关开支</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67"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项目绩效目标完成情况</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提高执法能力，抓好监管工作</w:t>
            </w:r>
          </w:p>
          <w:p>
            <w:pPr>
              <w:spacing w:beforeLines="0" w:afterLines="0"/>
              <w:jc w:val="center"/>
              <w:rPr>
                <w:rFonts w:hint="eastAsia" w:asciiTheme="minorEastAsia" w:hAnsiTheme="minorEastAsia" w:eastAsiaTheme="minorEastAsia" w:cs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67" w:hRule="atLeast"/>
        </w:trPr>
        <w:tc>
          <w:tcPr>
            <w:tcW w:w="1559"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存在的问题分析及改进措施</w:t>
            </w: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存在的问题</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预算执行率有待提高，由于预算项目未及时报账导致年末预算资金未形成支出；专项资金少，资金压力大，针对我局经济基础薄弱、资金压力大的现状，重点产业项目尚需进一步的加强。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89"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改进措施</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加强部门预算管理,合理安排财政资金。增强行政成本意识，细化经费预算编制，在保证单位正常工作需要的人员经费和公用经费的前提下，严格控制 “三公”经费支出。各项支出遵照预算执行，确保支出与预算的对应衔接，着力提高预算执行力。</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96" w:hRule="atLeast"/>
        </w:trPr>
        <w:tc>
          <w:tcPr>
            <w:tcW w:w="1559" w:type="dxa"/>
            <w:vMerge w:val="continue"/>
            <w:tcBorders>
              <w:top w:val="single" w:color="auto" w:sz="6" w:space="0"/>
              <w:left w:val="single" w:color="auto" w:sz="12" w:space="0"/>
              <w:bottom w:val="single" w:color="auto" w:sz="12"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12"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其他需要说明问题</w:t>
            </w:r>
          </w:p>
        </w:tc>
        <w:tc>
          <w:tcPr>
            <w:tcW w:w="5645" w:type="dxa"/>
            <w:tcBorders>
              <w:top w:val="single" w:color="auto" w:sz="6" w:space="0"/>
              <w:left w:val="single" w:color="auto" w:sz="6" w:space="0"/>
              <w:bottom w:val="single" w:color="auto" w:sz="12" w:space="0"/>
              <w:right w:val="single" w:color="auto" w:sz="12" w:space="0"/>
              <w:tl2br w:val="nil"/>
              <w:tr2bl w:val="nil"/>
            </w:tcBorders>
            <w:noWrap w:val="0"/>
            <w:vAlign w:val="center"/>
          </w:tcPr>
          <w:p>
            <w:pPr>
              <w:spacing w:beforeLines="0" w:afterLines="0"/>
              <w:rPr>
                <w:rFonts w:hint="eastAsia" w:asciiTheme="minorEastAsia" w:hAnsiTheme="minorEastAsia" w:eastAsiaTheme="minorEastAsia" w:cstheme="minorEastAsia"/>
                <w:sz w:val="24"/>
                <w:szCs w:val="24"/>
              </w:rPr>
            </w:pPr>
          </w:p>
          <w:p>
            <w:pPr>
              <w:spacing w:beforeLines="0" w:afterLine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无</w:t>
            </w:r>
          </w:p>
          <w:p>
            <w:pPr>
              <w:spacing w:beforeLines="0" w:afterLines="0"/>
              <w:rPr>
                <w:rFonts w:hint="eastAsia" w:asciiTheme="minorEastAsia" w:hAnsiTheme="minorEastAsia" w:eastAsiaTheme="minorEastAsia" w:cstheme="minorEastAsia"/>
                <w:kern w:val="2"/>
                <w:sz w:val="24"/>
                <w:szCs w:val="24"/>
                <w:lang w:val="en-US" w:eastAsia="zh-CN" w:bidi="ar-SA"/>
              </w:rPr>
            </w:pPr>
          </w:p>
        </w:tc>
      </w:tr>
    </w:tbl>
    <w:p>
      <w:pPr>
        <w:spacing w:beforeLines="0" w:afterLines="0" w:line="320" w:lineRule="atLeast"/>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备注：每个项目支出分别填报自评报告和自评表。</w:t>
      </w:r>
    </w:p>
    <w:p>
      <w:pPr>
        <w:spacing w:beforeLines="0" w:afterLines="0" w:line="320" w:lineRule="atLeast"/>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填表人：       填报日期：         联系电话：         单位负责人签字：</w:t>
      </w:r>
    </w:p>
    <w:p>
      <w:pPr>
        <w:spacing w:beforeLines="0" w:afterLines="0" w:line="600" w:lineRule="exact"/>
        <w:jc w:val="left"/>
        <w:rPr>
          <w:rFonts w:hint="eastAsia" w:ascii="黑体" w:hAnsi="黑体" w:eastAsia="黑体" w:cs="黑体"/>
          <w:sz w:val="32"/>
          <w:szCs w:val="32"/>
        </w:rPr>
      </w:pPr>
      <w:r>
        <w:rPr>
          <w:rFonts w:hint="eastAsia" w:ascii="黑体" w:hAnsi="黑体" w:eastAsia="黑体" w:cs="黑体"/>
          <w:sz w:val="32"/>
          <w:szCs w:val="32"/>
        </w:rPr>
        <w:t>附件</w:t>
      </w:r>
    </w:p>
    <w:p>
      <w:pPr>
        <w:spacing w:beforeLines="0" w:after="120" w:afterLines="50" w:line="600" w:lineRule="exact"/>
        <w:jc w:val="center"/>
        <w:outlineLvl w:val="1"/>
        <w:rPr>
          <w:rFonts w:hint="eastAsia" w:ascii="方正小标宋简体" w:eastAsia="方正小标宋简体"/>
          <w:sz w:val="44"/>
          <w:szCs w:val="24"/>
        </w:rPr>
      </w:pPr>
      <w:r>
        <w:rPr>
          <w:rFonts w:hint="eastAsia" w:ascii="方正小标宋简体" w:eastAsia="方正小标宋简体"/>
          <w:sz w:val="44"/>
          <w:szCs w:val="24"/>
        </w:rPr>
        <w:t>202</w:t>
      </w:r>
      <w:r>
        <w:rPr>
          <w:rFonts w:hint="eastAsia" w:ascii="方正小标宋简体" w:eastAsia="方正小标宋简体"/>
          <w:sz w:val="44"/>
          <w:szCs w:val="24"/>
          <w:lang w:val="en-US" w:eastAsia="zh-CN"/>
        </w:rPr>
        <w:t>4</w:t>
      </w:r>
      <w:r>
        <w:rPr>
          <w:rFonts w:hint="eastAsia" w:ascii="方正小标宋简体" w:eastAsia="方正小标宋简体"/>
          <w:sz w:val="44"/>
          <w:szCs w:val="24"/>
        </w:rPr>
        <w:t>年度项目支出绩效自评表</w:t>
      </w:r>
    </w:p>
    <w:tbl>
      <w:tblPr>
        <w:tblStyle w:val="7"/>
        <w:tblW w:w="945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21"/>
        <w:gridCol w:w="1085"/>
        <w:gridCol w:w="1085"/>
        <w:gridCol w:w="1230"/>
        <w:gridCol w:w="1140"/>
        <w:gridCol w:w="1140"/>
        <w:gridCol w:w="832"/>
        <w:gridCol w:w="877"/>
        <w:gridCol w:w="114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jc w:val="center"/>
        </w:trPr>
        <w:tc>
          <w:tcPr>
            <w:tcW w:w="921" w:type="dxa"/>
            <w:tcBorders>
              <w:top w:val="single" w:color="auto" w:sz="12" w:space="0"/>
              <w:left w:val="single" w:color="auto" w:sz="12" w:space="0"/>
              <w:bottom w:val="single" w:color="auto" w:sz="6" w:space="0"/>
              <w:right w:val="single" w:color="auto" w:sz="6" w:space="0"/>
              <w:tl2br w:val="nil"/>
              <w:tr2bl w:val="nil"/>
            </w:tcBorders>
            <w:noWrap w:val="0"/>
            <w:vAlign w:val="center"/>
          </w:tcPr>
          <w:p>
            <w:pPr>
              <w:spacing w:beforeLines="0" w:afterLines="0" w:line="26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项目支</w:t>
            </w:r>
          </w:p>
          <w:p>
            <w:pPr>
              <w:spacing w:beforeLines="0" w:afterLines="0" w:line="26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出名称</w:t>
            </w:r>
          </w:p>
        </w:tc>
        <w:tc>
          <w:tcPr>
            <w:tcW w:w="8535" w:type="dxa"/>
            <w:gridSpan w:val="8"/>
            <w:tcBorders>
              <w:top w:val="single" w:color="auto" w:sz="12"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sz w:val="24"/>
                <w:szCs w:val="24"/>
                <w:lang w:val="en-US" w:eastAsia="zh-CN"/>
              </w:rPr>
              <w:t>工业企业产品质量检测</w:t>
            </w: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8" w:hRule="atLeast"/>
          <w:jc w:val="center"/>
        </w:trPr>
        <w:tc>
          <w:tcPr>
            <w:tcW w:w="921"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主管部门</w:t>
            </w:r>
          </w:p>
        </w:tc>
        <w:tc>
          <w:tcPr>
            <w:tcW w:w="4540" w:type="dxa"/>
            <w:gridSpan w:val="4"/>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永州市市场监督管理局</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实施单位</w:t>
            </w:r>
          </w:p>
        </w:tc>
        <w:tc>
          <w:tcPr>
            <w:tcW w:w="2855" w:type="dxa"/>
            <w:gridSpan w:val="3"/>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双牌县市场监督管理局</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项目资金</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（万元）</w:t>
            </w: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年初</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预算数</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全年</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预算数</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全年</w:t>
            </w:r>
          </w:p>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执行数</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分值</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执行率</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年度资金总额　</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5</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5</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5</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10</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100%</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其中：当年财政拨款　</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5</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5</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5</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　10</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100%</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ind w:firstLine="720" w:firstLineChars="3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上年结转资金　</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ind w:firstLine="720" w:firstLineChars="3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其他资金</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8"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年度总体目标</w:t>
            </w:r>
          </w:p>
        </w:tc>
        <w:tc>
          <w:tcPr>
            <w:tcW w:w="4540" w:type="dxa"/>
            <w:gridSpan w:val="4"/>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预期目标</w:t>
            </w:r>
          </w:p>
        </w:tc>
        <w:tc>
          <w:tcPr>
            <w:tcW w:w="3995"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实际完成情况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4540" w:type="dxa"/>
            <w:gridSpan w:val="4"/>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sz w:val="24"/>
                <w:szCs w:val="24"/>
                <w:lang w:val="en-US" w:eastAsia="zh-CN"/>
              </w:rPr>
              <w:t>提高执法能力，抓好监管工作</w:t>
            </w:r>
            <w:r>
              <w:rPr>
                <w:rFonts w:hint="eastAsia" w:asciiTheme="minorEastAsia" w:hAnsiTheme="minorEastAsia" w:eastAsiaTheme="minorEastAsia" w:cstheme="minorEastAsia"/>
                <w:color w:val="000000"/>
                <w:sz w:val="24"/>
                <w:szCs w:val="24"/>
              </w:rPr>
              <w:t>　　</w:t>
            </w:r>
          </w:p>
        </w:tc>
        <w:tc>
          <w:tcPr>
            <w:tcW w:w="3995"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sz w:val="24"/>
                <w:szCs w:val="24"/>
                <w:lang w:val="en-US" w:eastAsia="zh-CN"/>
              </w:rPr>
              <w:t>提高执法能力，抓好监管工作</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40"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绩</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效</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指</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标</w:t>
            </w: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一级指标</w:t>
            </w: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二级指标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三级指标</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年度</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指标值</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实际</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完成值</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分值</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得分</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偏差原因</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分析及</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改进措施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3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成本指标</w:t>
            </w:r>
          </w:p>
          <w:p>
            <w:pPr>
              <w:spacing w:beforeLines="0" w:afterLines="0"/>
              <w:jc w:val="center"/>
              <w:rPr>
                <w:rFonts w:hint="eastAsia" w:asciiTheme="minorEastAsia" w:hAnsiTheme="minorEastAsia" w:eastAsiaTheme="minorEastAsia" w:cstheme="minorEastAsia"/>
                <w:color w:val="000000"/>
                <w:kern w:val="0"/>
                <w:sz w:val="24"/>
                <w:szCs w:val="24"/>
                <w:lang w:val="en"/>
              </w:rPr>
            </w:pPr>
            <w:r>
              <w:rPr>
                <w:rFonts w:hint="eastAsia" w:asciiTheme="minorEastAsia" w:hAnsiTheme="minorEastAsia" w:eastAsiaTheme="minorEastAsia" w:cstheme="minorEastAsia"/>
                <w:color w:val="000000"/>
                <w:kern w:val="0"/>
                <w:sz w:val="24"/>
                <w:szCs w:val="24"/>
                <w:lang w:val="en"/>
              </w:rPr>
              <w:t>（</w:t>
            </w:r>
            <w:r>
              <w:rPr>
                <w:rFonts w:hint="eastAsia" w:asciiTheme="minorEastAsia" w:hAnsiTheme="minorEastAsia" w:eastAsiaTheme="minorEastAsia" w:cstheme="minorEastAsia"/>
                <w:color w:val="000000"/>
                <w:kern w:val="0"/>
                <w:sz w:val="24"/>
                <w:szCs w:val="24"/>
              </w:rPr>
              <w:t>20分</w:t>
            </w:r>
            <w:r>
              <w:rPr>
                <w:rFonts w:hint="eastAsia" w:asciiTheme="minorEastAsia" w:hAnsiTheme="minorEastAsia" w:eastAsiaTheme="minorEastAsia" w:cstheme="minorEastAsia"/>
                <w:color w:val="000000"/>
                <w:kern w:val="0"/>
                <w:sz w:val="24"/>
                <w:szCs w:val="24"/>
                <w:lang w:val="en"/>
              </w:rPr>
              <w:t>）</w:t>
            </w: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经济成</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本指标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sz w:val="24"/>
                <w:szCs w:val="24"/>
                <w:lang w:val="en-US" w:eastAsia="zh-CN"/>
              </w:rPr>
              <w:t>工业企业产品质量检测</w:t>
            </w:r>
            <w:r>
              <w:rPr>
                <w:rFonts w:hint="eastAsia" w:asciiTheme="minorEastAsia" w:hAnsiTheme="minorEastAsia" w:eastAsiaTheme="minorEastAsia" w:cstheme="minorEastAsia"/>
                <w:color w:val="000000"/>
                <w:sz w:val="24"/>
                <w:szCs w:val="24"/>
                <w:lang w:val="en-US" w:eastAsia="zh-CN"/>
              </w:rPr>
              <w:t>经费</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5</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5</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279" w:hRule="exac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社会成</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本指标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lang w:val="en-US" w:eastAsia="zh-CN"/>
              </w:rPr>
              <w:t>社会成本节约率</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0%</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lang w:val="en-US" w:eastAsia="zh-CN"/>
              </w:rPr>
              <w:t>0%</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5</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5</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9"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生态环境</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成本指标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lang w:val="en-US" w:eastAsia="zh-CN"/>
              </w:rPr>
              <w:t>生态环境成本节约率</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0%</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0%</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5</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5</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产出指标</w:t>
            </w:r>
          </w:p>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（40分）</w:t>
            </w: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数量指标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抽样批次</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50批次</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50批次</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10</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质量指标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lang w:val="en-US" w:eastAsia="zh-CN"/>
              </w:rPr>
              <w:t>项目验收率</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100%</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100%</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时效指标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2"/>
                <w:szCs w:val="22"/>
              </w:rPr>
              <w:t>补助资金预算执行率</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100%</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100%</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lang w:val="en-US" w:eastAsia="zh-CN"/>
              </w:rPr>
              <w:t>10</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lang w:val="en-US" w:eastAsia="zh-CN"/>
              </w:rPr>
              <w:t>10</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效益指标</w:t>
            </w:r>
          </w:p>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（20分）</w:t>
            </w: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经济效</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益指标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促进工业企业产品质量提升</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逐步提升</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逐步提升</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3"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生态效</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益指标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改善生态环境</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效果明显</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效果明显</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5</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5</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社会效</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益指标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保障消费者权益</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lang w:val="en-US" w:eastAsia="zh-CN"/>
              </w:rPr>
              <w:t>逐步提高</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lang w:val="en-US" w:eastAsia="zh-CN"/>
              </w:rPr>
              <w:t>逐步提高</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hint="eastAsia"/>
              </w:rPr>
              <w:t>　5</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hint="eastAsia"/>
              </w:rPr>
              <w:t>　5</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hint="eastAsia"/>
              </w:rPr>
              <w:t>　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7"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满意度</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指标</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（10分）</w:t>
            </w: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服务对象满意度指标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hint="eastAsia"/>
              </w:rPr>
              <w:t>群众对监管成果的满意度</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hint="eastAsia"/>
              </w:rPr>
              <w:t>　90%</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hint="eastAsia"/>
              </w:rPr>
              <w:t>　90%</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hint="eastAsia"/>
              </w:rPr>
              <w:t>10</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hint="eastAsia"/>
              </w:rPr>
              <w:t>10</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hint="eastAsia"/>
              </w:rPr>
              <w:t>　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9" w:hRule="atLeast"/>
          <w:jc w:val="center"/>
        </w:trPr>
        <w:tc>
          <w:tcPr>
            <w:tcW w:w="6601" w:type="dxa"/>
            <w:gridSpan w:val="6"/>
            <w:tcBorders>
              <w:top w:val="single" w:color="auto" w:sz="6" w:space="0"/>
              <w:left w:val="single" w:color="auto" w:sz="12" w:space="0"/>
              <w:bottom w:val="single" w:color="auto" w:sz="12"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总分</w:t>
            </w:r>
          </w:p>
        </w:tc>
        <w:tc>
          <w:tcPr>
            <w:tcW w:w="832" w:type="dxa"/>
            <w:tcBorders>
              <w:top w:val="single" w:color="auto" w:sz="6" w:space="0"/>
              <w:left w:val="single" w:color="auto" w:sz="6" w:space="0"/>
              <w:bottom w:val="single" w:color="auto" w:sz="12"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100</w:t>
            </w:r>
          </w:p>
        </w:tc>
        <w:tc>
          <w:tcPr>
            <w:tcW w:w="877" w:type="dxa"/>
            <w:tcBorders>
              <w:top w:val="single" w:color="auto" w:sz="6" w:space="0"/>
              <w:left w:val="single" w:color="auto" w:sz="6" w:space="0"/>
              <w:bottom w:val="single" w:color="auto" w:sz="12"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100</w:t>
            </w:r>
          </w:p>
        </w:tc>
        <w:tc>
          <w:tcPr>
            <w:tcW w:w="1146" w:type="dxa"/>
            <w:tcBorders>
              <w:top w:val="single" w:color="auto" w:sz="6" w:space="0"/>
              <w:left w:val="single" w:color="auto" w:sz="6" w:space="0"/>
              <w:bottom w:val="single" w:color="auto" w:sz="12"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无</w:t>
            </w:r>
          </w:p>
        </w:tc>
      </w:tr>
    </w:tbl>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备注：每个项目支出分别填报自评报告和自评表。</w:t>
      </w:r>
    </w:p>
    <w:p>
      <w:pPr>
        <w:spacing w:beforeLines="0" w:afterLines="0"/>
        <w:jc w:val="left"/>
        <w:rPr>
          <w:rFonts w:hint="eastAsia" w:asciiTheme="minorEastAsia" w:hAnsiTheme="minorEastAsia" w:eastAsiaTheme="minorEastAsia" w:cstheme="minorEastAsia"/>
          <w:sz w:val="24"/>
          <w:szCs w:val="24"/>
        </w:rPr>
      </w:pPr>
    </w:p>
    <w:p>
      <w:pPr>
        <w:spacing w:beforeLines="0" w:afterLines="0"/>
        <w:jc w:val="lef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填表人：       填报日期：         联系电话：         单位负责人签字</w:t>
      </w:r>
      <w:r>
        <w:rPr>
          <w:rFonts w:hint="eastAsia" w:asciiTheme="minorEastAsia" w:hAnsiTheme="minorEastAsia" w:eastAsiaTheme="minorEastAsia" w:cstheme="minorEastAsia"/>
          <w:sz w:val="24"/>
          <w:szCs w:val="24"/>
          <w:lang w:eastAsia="zh-CN"/>
        </w:rPr>
        <w:t>：</w:t>
      </w:r>
    </w:p>
    <w:p>
      <w:pPr>
        <w:pStyle w:val="2"/>
        <w:ind w:left="0" w:leftChars="0" w:firstLine="0" w:firstLineChars="0"/>
        <w:rPr>
          <w:rFonts w:hint="eastAsia" w:asciiTheme="minorEastAsia" w:hAnsiTheme="minorEastAsia" w:eastAsiaTheme="minorEastAsia" w:cstheme="minorEastAsia"/>
          <w:sz w:val="24"/>
          <w:szCs w:val="24"/>
          <w:lang w:eastAsia="zh-CN"/>
        </w:rPr>
      </w:pPr>
    </w:p>
    <w:p>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outlineLvl w:val="1"/>
        <w:rPr>
          <w:rFonts w:hint="eastAsia" w:ascii="方正小标宋简体" w:eastAsia="方正小标宋简体"/>
          <w:sz w:val="44"/>
          <w:szCs w:val="24"/>
        </w:rPr>
      </w:pPr>
      <w:r>
        <w:rPr>
          <w:rFonts w:hint="eastAsia" w:ascii="方正小标宋简体" w:eastAsia="方正小标宋简体"/>
          <w:sz w:val="44"/>
          <w:szCs w:val="24"/>
        </w:rPr>
        <w:t>202</w:t>
      </w:r>
      <w:r>
        <w:rPr>
          <w:rFonts w:hint="eastAsia" w:ascii="方正小标宋简体" w:eastAsia="方正小标宋简体"/>
          <w:sz w:val="44"/>
          <w:szCs w:val="24"/>
          <w:lang w:val="en-US" w:eastAsia="zh-CN"/>
        </w:rPr>
        <w:t>4</w:t>
      </w:r>
      <w:r>
        <w:rPr>
          <w:rFonts w:hint="eastAsia" w:ascii="方正小标宋简体" w:eastAsia="方正小标宋简体"/>
          <w:sz w:val="44"/>
          <w:szCs w:val="24"/>
        </w:rPr>
        <w:t>年度项目支出绩效自评报告</w:t>
      </w:r>
    </w:p>
    <w:tbl>
      <w:tblPr>
        <w:tblStyle w:val="7"/>
        <w:tblpPr w:leftFromText="180" w:rightFromText="180" w:vertAnchor="text" w:horzAnchor="margin" w:tblpXSpec="center" w:tblpY="189"/>
        <w:tblW w:w="917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59"/>
        <w:gridCol w:w="1975"/>
        <w:gridCol w:w="564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7" w:hRule="atLeast"/>
        </w:trPr>
        <w:tc>
          <w:tcPr>
            <w:tcW w:w="1559" w:type="dxa"/>
            <w:vMerge w:val="restart"/>
            <w:tcBorders>
              <w:top w:val="single" w:color="auto" w:sz="12"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部门概况</w:t>
            </w:r>
          </w:p>
        </w:tc>
        <w:tc>
          <w:tcPr>
            <w:tcW w:w="1975" w:type="dxa"/>
            <w:tcBorders>
              <w:top w:val="single" w:color="auto" w:sz="12"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专项名称</w:t>
            </w:r>
          </w:p>
        </w:tc>
        <w:tc>
          <w:tcPr>
            <w:tcW w:w="5645" w:type="dxa"/>
            <w:tcBorders>
              <w:top w:val="single" w:color="auto" w:sz="12"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公用经费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年度预算金额</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102.8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项目主管部门</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双牌县市场监督管理局</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项目立项目的</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完成局内基本运转</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50" w:hRule="atLeast"/>
        </w:trPr>
        <w:tc>
          <w:tcPr>
            <w:tcW w:w="1559"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绩效情况</w:t>
            </w: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项目支出管理和使用基本情况</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both"/>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主要用于水费，电费，差旅费，办公费，邮电费等局基本运转费用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67"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项目绩效目标完成情况</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完成局内基本运转</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67" w:hRule="atLeast"/>
        </w:trPr>
        <w:tc>
          <w:tcPr>
            <w:tcW w:w="1559"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存在的问题分析及改进措施</w:t>
            </w: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存在的问题</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预算执行率有待提高，由于预算项目未及时报账导致年末预算资金未形成支出；专项资金少，资金压力大，针对我局经济基础薄弱、资金压力大的现状，重点产业项目尚需进一步的加强。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89"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改进措施</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加强部门预算管理,合理安排财政资金。增强行政成本意识，细化经费预算编制，在保证单位正常工作需要的人员经费和公用经费的前提下，严格控制 “三公”经费支出。各项支出遵照预算执行，确保支出与预算的对应衔接，着力提高预算执行力。</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96" w:hRule="atLeast"/>
        </w:trPr>
        <w:tc>
          <w:tcPr>
            <w:tcW w:w="1559" w:type="dxa"/>
            <w:vMerge w:val="continue"/>
            <w:tcBorders>
              <w:top w:val="single" w:color="auto" w:sz="6" w:space="0"/>
              <w:left w:val="single" w:color="auto" w:sz="12" w:space="0"/>
              <w:bottom w:val="single" w:color="auto" w:sz="12"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12"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其他需要说明问题</w:t>
            </w:r>
          </w:p>
        </w:tc>
        <w:tc>
          <w:tcPr>
            <w:tcW w:w="5645" w:type="dxa"/>
            <w:tcBorders>
              <w:top w:val="single" w:color="auto" w:sz="6" w:space="0"/>
              <w:left w:val="single" w:color="auto" w:sz="6" w:space="0"/>
              <w:bottom w:val="single" w:color="auto" w:sz="12" w:space="0"/>
              <w:right w:val="single" w:color="auto" w:sz="12" w:space="0"/>
              <w:tl2br w:val="nil"/>
              <w:tr2bl w:val="nil"/>
            </w:tcBorders>
            <w:noWrap w:val="0"/>
            <w:vAlign w:val="center"/>
          </w:tcPr>
          <w:p>
            <w:pPr>
              <w:spacing w:beforeLines="0" w:afterLines="0"/>
              <w:rPr>
                <w:rFonts w:hint="eastAsia" w:asciiTheme="minorEastAsia" w:hAnsiTheme="minorEastAsia" w:eastAsiaTheme="minorEastAsia" w:cstheme="minorEastAsia"/>
                <w:sz w:val="24"/>
                <w:szCs w:val="24"/>
              </w:rPr>
            </w:pPr>
          </w:p>
          <w:p>
            <w:pPr>
              <w:spacing w:beforeLines="0" w:afterLine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无</w:t>
            </w:r>
          </w:p>
          <w:p>
            <w:pPr>
              <w:spacing w:beforeLines="0" w:afterLines="0"/>
              <w:rPr>
                <w:rFonts w:hint="eastAsia" w:asciiTheme="minorEastAsia" w:hAnsiTheme="minorEastAsia" w:eastAsiaTheme="minorEastAsia" w:cstheme="minorEastAsia"/>
                <w:kern w:val="2"/>
                <w:sz w:val="24"/>
                <w:szCs w:val="24"/>
                <w:lang w:val="en-US" w:eastAsia="zh-CN" w:bidi="ar-SA"/>
              </w:rPr>
            </w:pPr>
          </w:p>
        </w:tc>
      </w:tr>
    </w:tbl>
    <w:p>
      <w:pPr>
        <w:spacing w:beforeLines="0" w:afterLines="0" w:line="320" w:lineRule="atLeast"/>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备注：每个项目支出分别填报自评报告和自评表。</w:t>
      </w:r>
    </w:p>
    <w:p>
      <w:pPr>
        <w:spacing w:beforeLines="0" w:afterLines="0" w:line="320" w:lineRule="atLeast"/>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填表人：       填报日期：         联系电话：         单位负责人签字：</w:t>
      </w:r>
    </w:p>
    <w:p>
      <w:pPr>
        <w:spacing w:beforeLines="0" w:afterLines="0" w:line="600" w:lineRule="exact"/>
        <w:jc w:val="left"/>
        <w:rPr>
          <w:rFonts w:hint="eastAsia" w:ascii="黑体" w:hAnsi="黑体" w:eastAsia="黑体" w:cs="黑体"/>
          <w:sz w:val="32"/>
          <w:szCs w:val="32"/>
        </w:rPr>
      </w:pPr>
      <w:r>
        <w:rPr>
          <w:rFonts w:hint="eastAsia" w:ascii="黑体" w:hAnsi="黑体" w:eastAsia="黑体" w:cs="黑体"/>
          <w:sz w:val="32"/>
          <w:szCs w:val="32"/>
        </w:rPr>
        <w:t>附件5</w:t>
      </w:r>
    </w:p>
    <w:p>
      <w:pPr>
        <w:spacing w:beforeLines="0" w:after="120" w:afterLines="50" w:line="600" w:lineRule="exact"/>
        <w:jc w:val="center"/>
        <w:outlineLvl w:val="1"/>
        <w:rPr>
          <w:rFonts w:hint="eastAsia" w:ascii="方正小标宋简体" w:eastAsia="方正小标宋简体"/>
          <w:sz w:val="44"/>
          <w:szCs w:val="24"/>
        </w:rPr>
      </w:pPr>
      <w:r>
        <w:rPr>
          <w:rFonts w:hint="eastAsia" w:ascii="方正小标宋简体" w:eastAsia="方正小标宋简体"/>
          <w:sz w:val="44"/>
          <w:szCs w:val="24"/>
        </w:rPr>
        <w:t>202</w:t>
      </w:r>
      <w:r>
        <w:rPr>
          <w:rFonts w:hint="eastAsia" w:ascii="方正小标宋简体" w:eastAsia="方正小标宋简体"/>
          <w:sz w:val="44"/>
          <w:szCs w:val="24"/>
          <w:lang w:val="en-US" w:eastAsia="zh-CN"/>
        </w:rPr>
        <w:t>4</w:t>
      </w:r>
      <w:r>
        <w:rPr>
          <w:rFonts w:hint="eastAsia" w:ascii="方正小标宋简体" w:eastAsia="方正小标宋简体"/>
          <w:sz w:val="44"/>
          <w:szCs w:val="24"/>
        </w:rPr>
        <w:t>年度项目支出绩效自评表</w:t>
      </w:r>
    </w:p>
    <w:tbl>
      <w:tblPr>
        <w:tblStyle w:val="7"/>
        <w:tblW w:w="945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21"/>
        <w:gridCol w:w="1085"/>
        <w:gridCol w:w="1085"/>
        <w:gridCol w:w="1230"/>
        <w:gridCol w:w="1140"/>
        <w:gridCol w:w="1140"/>
        <w:gridCol w:w="832"/>
        <w:gridCol w:w="877"/>
        <w:gridCol w:w="114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jc w:val="center"/>
        </w:trPr>
        <w:tc>
          <w:tcPr>
            <w:tcW w:w="921" w:type="dxa"/>
            <w:tcBorders>
              <w:top w:val="single" w:color="auto" w:sz="12" w:space="0"/>
              <w:left w:val="single" w:color="auto" w:sz="12" w:space="0"/>
              <w:bottom w:val="single" w:color="auto" w:sz="6" w:space="0"/>
              <w:right w:val="single" w:color="auto" w:sz="6" w:space="0"/>
              <w:tl2br w:val="nil"/>
              <w:tr2bl w:val="nil"/>
            </w:tcBorders>
            <w:noWrap w:val="0"/>
            <w:vAlign w:val="center"/>
          </w:tcPr>
          <w:p>
            <w:pPr>
              <w:spacing w:beforeLines="0" w:afterLines="0" w:line="26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项目支</w:t>
            </w:r>
          </w:p>
          <w:p>
            <w:pPr>
              <w:spacing w:beforeLines="0" w:afterLines="0" w:line="26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出名称</w:t>
            </w:r>
          </w:p>
        </w:tc>
        <w:tc>
          <w:tcPr>
            <w:tcW w:w="8535" w:type="dxa"/>
            <w:gridSpan w:val="8"/>
            <w:tcBorders>
              <w:top w:val="single" w:color="auto" w:sz="12"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公用经费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8" w:hRule="atLeast"/>
          <w:jc w:val="center"/>
        </w:trPr>
        <w:tc>
          <w:tcPr>
            <w:tcW w:w="921"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主管部门</w:t>
            </w:r>
          </w:p>
        </w:tc>
        <w:tc>
          <w:tcPr>
            <w:tcW w:w="4540" w:type="dxa"/>
            <w:gridSpan w:val="4"/>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永州市市场监督管理局</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实施单位</w:t>
            </w:r>
          </w:p>
        </w:tc>
        <w:tc>
          <w:tcPr>
            <w:tcW w:w="2855" w:type="dxa"/>
            <w:gridSpan w:val="3"/>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双牌县市场监督管理局</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项目资金</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（万元）</w:t>
            </w: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年初</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预算数</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全年</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预算数</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全年</w:t>
            </w:r>
          </w:p>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执行数</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分值</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执行率</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年度资金总额　</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102.8</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102.8</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102.8</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10</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100%</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其中：当年财政拨款　</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102.8</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102.8</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102.8</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100%</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ind w:firstLine="720" w:firstLineChars="3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上年结转资金　</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ind w:firstLine="720" w:firstLineChars="3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其他资金</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8"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年度总体目标</w:t>
            </w:r>
          </w:p>
        </w:tc>
        <w:tc>
          <w:tcPr>
            <w:tcW w:w="4540" w:type="dxa"/>
            <w:gridSpan w:val="4"/>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预期目标</w:t>
            </w:r>
          </w:p>
        </w:tc>
        <w:tc>
          <w:tcPr>
            <w:tcW w:w="3995"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实际完成情况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4540" w:type="dxa"/>
            <w:gridSpan w:val="4"/>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sz w:val="24"/>
                <w:szCs w:val="24"/>
                <w:lang w:val="en-US" w:eastAsia="zh-CN"/>
              </w:rPr>
              <w:t>完成局内基本运转</w:t>
            </w:r>
            <w:r>
              <w:rPr>
                <w:rFonts w:hint="eastAsia" w:asciiTheme="minorEastAsia" w:hAnsiTheme="minorEastAsia" w:eastAsiaTheme="minorEastAsia" w:cstheme="minorEastAsia"/>
                <w:color w:val="000000"/>
                <w:sz w:val="24"/>
                <w:szCs w:val="24"/>
              </w:rPr>
              <w:t>　</w:t>
            </w:r>
          </w:p>
        </w:tc>
        <w:tc>
          <w:tcPr>
            <w:tcW w:w="3995"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sz w:val="24"/>
                <w:szCs w:val="24"/>
                <w:lang w:val="en-US" w:eastAsia="zh-CN"/>
              </w:rPr>
              <w:t>完成局内基本运转</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40"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绩</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效</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指</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标</w:t>
            </w: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一级指标</w:t>
            </w: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二级指标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三级指标</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年度</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指标值</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实际</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完成值</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分值</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得分</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偏差原因</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分析及</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改进措施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3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成本指标</w:t>
            </w:r>
          </w:p>
          <w:p>
            <w:pPr>
              <w:spacing w:beforeLines="0" w:afterLines="0"/>
              <w:jc w:val="center"/>
              <w:rPr>
                <w:rFonts w:hint="eastAsia" w:asciiTheme="minorEastAsia" w:hAnsiTheme="minorEastAsia" w:eastAsiaTheme="minorEastAsia" w:cstheme="minorEastAsia"/>
                <w:color w:val="000000"/>
                <w:kern w:val="0"/>
                <w:sz w:val="24"/>
                <w:szCs w:val="24"/>
                <w:lang w:val="en"/>
              </w:rPr>
            </w:pPr>
            <w:r>
              <w:rPr>
                <w:rFonts w:hint="eastAsia" w:asciiTheme="minorEastAsia" w:hAnsiTheme="minorEastAsia" w:eastAsiaTheme="minorEastAsia" w:cstheme="minorEastAsia"/>
                <w:color w:val="000000"/>
                <w:kern w:val="0"/>
                <w:sz w:val="24"/>
                <w:szCs w:val="24"/>
                <w:lang w:val="en"/>
              </w:rPr>
              <w:t>（</w:t>
            </w:r>
            <w:r>
              <w:rPr>
                <w:rFonts w:hint="eastAsia" w:asciiTheme="minorEastAsia" w:hAnsiTheme="minorEastAsia" w:eastAsiaTheme="minorEastAsia" w:cstheme="minorEastAsia"/>
                <w:color w:val="000000"/>
                <w:kern w:val="0"/>
                <w:sz w:val="24"/>
                <w:szCs w:val="24"/>
              </w:rPr>
              <w:t>20分</w:t>
            </w:r>
            <w:r>
              <w:rPr>
                <w:rFonts w:hint="eastAsia" w:asciiTheme="minorEastAsia" w:hAnsiTheme="minorEastAsia" w:eastAsiaTheme="minorEastAsia" w:cstheme="minorEastAsia"/>
                <w:color w:val="000000"/>
                <w:kern w:val="0"/>
                <w:sz w:val="24"/>
                <w:szCs w:val="24"/>
                <w:lang w:val="en"/>
              </w:rPr>
              <w:t>）</w:t>
            </w: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经济成</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本指标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单位运转经费</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102.8</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102.8</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279" w:hRule="exac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社会成</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本指标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社会成本节约率</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0%</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0%</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5</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5</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9"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生态环境</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成本指标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生态环境成本节约率</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0%</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0%</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5</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5</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产出指标</w:t>
            </w:r>
          </w:p>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（40分）</w:t>
            </w: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数量指标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单位人数</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78</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78</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质量指标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经费使用准确性</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100%</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100%</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20</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20</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时效指标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2"/>
                <w:szCs w:val="22"/>
              </w:rPr>
              <w:t>补助资金预算执行率</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100%</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100%</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lang w:val="en-US" w:eastAsia="zh-CN"/>
              </w:rPr>
              <w:t>10</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lang w:val="en-US" w:eastAsia="zh-CN"/>
              </w:rPr>
              <w:t>10</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效益指标</w:t>
            </w:r>
          </w:p>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（20分）</w:t>
            </w: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经济效</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益指标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提高工作积极性</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逐渐提高</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逐渐提高</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5</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5</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3"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生态效</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益指标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hint="eastAsia"/>
              </w:rPr>
              <w:t>生态环境</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hint="eastAsia"/>
              </w:rPr>
              <w:t>　稳中向好</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hint="eastAsia"/>
              </w:rPr>
              <w:t>　稳中向好</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hint="eastAsia"/>
              </w:rPr>
              <w:t>　5</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hint="eastAsia"/>
              </w:rPr>
              <w:t>　5</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hint="eastAsia"/>
              </w:rPr>
              <w:t>　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社会效</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益指标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保障市场秩序</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逐步提高</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lang w:val="en-US" w:eastAsia="zh-CN"/>
              </w:rPr>
              <w:t>逐步提高</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5</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5</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保障单位运转</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逐步提高</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lang w:val="en-US" w:eastAsia="zh-CN"/>
              </w:rPr>
              <w:t>逐步提高</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hint="eastAsia"/>
              </w:rPr>
              <w:t>　5</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hint="eastAsia"/>
              </w:rPr>
              <w:t>　5</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hint="eastAsia"/>
              </w:rPr>
              <w:t>　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7"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满意度</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指标</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（10分）</w:t>
            </w: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服务对象满意度指标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hint="eastAsia"/>
              </w:rPr>
              <w:t>群众对监管成果的满意度</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hint="eastAsia"/>
              </w:rPr>
              <w:t>　90%</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hint="eastAsia"/>
              </w:rPr>
              <w:t>　90%</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hint="eastAsia"/>
              </w:rPr>
              <w:t>10</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hint="eastAsia"/>
              </w:rPr>
              <w:t>10</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hint="eastAsia"/>
              </w:rPr>
              <w:t>　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9" w:hRule="atLeast"/>
          <w:jc w:val="center"/>
        </w:trPr>
        <w:tc>
          <w:tcPr>
            <w:tcW w:w="6601" w:type="dxa"/>
            <w:gridSpan w:val="6"/>
            <w:tcBorders>
              <w:top w:val="single" w:color="auto" w:sz="6" w:space="0"/>
              <w:left w:val="single" w:color="auto" w:sz="12" w:space="0"/>
              <w:bottom w:val="single" w:color="auto" w:sz="12"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总分</w:t>
            </w:r>
          </w:p>
        </w:tc>
        <w:tc>
          <w:tcPr>
            <w:tcW w:w="832" w:type="dxa"/>
            <w:tcBorders>
              <w:top w:val="single" w:color="auto" w:sz="6" w:space="0"/>
              <w:left w:val="single" w:color="auto" w:sz="6" w:space="0"/>
              <w:bottom w:val="single" w:color="auto" w:sz="12"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100</w:t>
            </w:r>
          </w:p>
        </w:tc>
        <w:tc>
          <w:tcPr>
            <w:tcW w:w="877" w:type="dxa"/>
            <w:tcBorders>
              <w:top w:val="single" w:color="auto" w:sz="6" w:space="0"/>
              <w:left w:val="single" w:color="auto" w:sz="6" w:space="0"/>
              <w:bottom w:val="single" w:color="auto" w:sz="12"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100</w:t>
            </w:r>
          </w:p>
        </w:tc>
        <w:tc>
          <w:tcPr>
            <w:tcW w:w="1146" w:type="dxa"/>
            <w:tcBorders>
              <w:top w:val="single" w:color="auto" w:sz="6" w:space="0"/>
              <w:left w:val="single" w:color="auto" w:sz="6" w:space="0"/>
              <w:bottom w:val="single" w:color="auto" w:sz="12"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无</w:t>
            </w:r>
          </w:p>
        </w:tc>
      </w:tr>
    </w:tbl>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备注：每个项目支出分别填报自评报告和自评表。</w:t>
      </w:r>
    </w:p>
    <w:p>
      <w:pPr>
        <w:spacing w:beforeLines="0" w:afterLines="0"/>
        <w:jc w:val="left"/>
        <w:rPr>
          <w:rFonts w:hint="eastAsia" w:asciiTheme="minorEastAsia" w:hAnsiTheme="minorEastAsia" w:eastAsiaTheme="minorEastAsia" w:cstheme="minorEastAsia"/>
          <w:sz w:val="24"/>
          <w:szCs w:val="24"/>
        </w:rPr>
      </w:pPr>
    </w:p>
    <w:p>
      <w:pPr>
        <w:spacing w:beforeLines="0" w:afterLines="0"/>
        <w:jc w:val="left"/>
        <w:rPr>
          <w:rFonts w:hint="eastAsia" w:eastAsiaTheme="minorEastAsia"/>
          <w:sz w:val="22"/>
          <w:szCs w:val="24"/>
          <w:lang w:eastAsia="zh-CN"/>
        </w:rPr>
        <w:sectPr>
          <w:footerReference r:id="rId3" w:type="default"/>
          <w:footerReference r:id="rId4" w:type="even"/>
          <w:pgSz w:w="11905" w:h="16837"/>
          <w:pgMar w:top="1440" w:right="1701" w:bottom="1440" w:left="1701" w:header="851" w:footer="1474" w:gutter="0"/>
          <w:lnNumType w:countBy="0" w:distance="360"/>
          <w:pgNumType w:fmt="numberInDash" w:start="1"/>
          <w:cols w:space="0" w:num="1"/>
          <w:rtlGutter w:val="0"/>
          <w:docGrid w:type="lines" w:linePitch="636" w:charSpace="0"/>
        </w:sectPr>
      </w:pPr>
      <w:r>
        <w:rPr>
          <w:rFonts w:hint="eastAsia" w:asciiTheme="minorEastAsia" w:hAnsiTheme="minorEastAsia" w:eastAsiaTheme="minorEastAsia" w:cstheme="minorEastAsia"/>
          <w:sz w:val="24"/>
          <w:szCs w:val="24"/>
        </w:rPr>
        <w:t>填表人：       填报日期：         联系电话：         单位负责人签字</w:t>
      </w:r>
    </w:p>
    <w:p>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outlineLvl w:val="1"/>
        <w:rPr>
          <w:rFonts w:hint="eastAsia" w:ascii="方正小标宋简体" w:eastAsia="方正小标宋简体"/>
          <w:sz w:val="44"/>
          <w:szCs w:val="24"/>
        </w:rPr>
      </w:pPr>
      <w:r>
        <w:rPr>
          <w:rFonts w:hint="eastAsia" w:ascii="方正小标宋简体" w:eastAsia="方正小标宋简体"/>
          <w:sz w:val="44"/>
          <w:szCs w:val="24"/>
        </w:rPr>
        <w:t>202</w:t>
      </w:r>
      <w:r>
        <w:rPr>
          <w:rFonts w:hint="eastAsia" w:ascii="方正小标宋简体" w:eastAsia="方正小标宋简体"/>
          <w:sz w:val="44"/>
          <w:szCs w:val="24"/>
          <w:lang w:val="en-US" w:eastAsia="zh-CN"/>
        </w:rPr>
        <w:t>4</w:t>
      </w:r>
      <w:r>
        <w:rPr>
          <w:rFonts w:hint="eastAsia" w:ascii="方正小标宋简体" w:eastAsia="方正小标宋简体"/>
          <w:sz w:val="44"/>
          <w:szCs w:val="24"/>
        </w:rPr>
        <w:t>年度项目支出绩效自评报告</w:t>
      </w:r>
    </w:p>
    <w:tbl>
      <w:tblPr>
        <w:tblStyle w:val="7"/>
        <w:tblpPr w:leftFromText="180" w:rightFromText="180" w:vertAnchor="text" w:horzAnchor="margin" w:tblpXSpec="center" w:tblpY="189"/>
        <w:tblW w:w="917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59"/>
        <w:gridCol w:w="1975"/>
        <w:gridCol w:w="564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7" w:hRule="atLeast"/>
        </w:trPr>
        <w:tc>
          <w:tcPr>
            <w:tcW w:w="1559" w:type="dxa"/>
            <w:vMerge w:val="restart"/>
            <w:tcBorders>
              <w:top w:val="single" w:color="auto" w:sz="12"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部门概况</w:t>
            </w:r>
          </w:p>
        </w:tc>
        <w:tc>
          <w:tcPr>
            <w:tcW w:w="1975" w:type="dxa"/>
            <w:tcBorders>
              <w:top w:val="single" w:color="auto" w:sz="12"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专项名称</w:t>
            </w:r>
          </w:p>
        </w:tc>
        <w:tc>
          <w:tcPr>
            <w:tcW w:w="5645" w:type="dxa"/>
            <w:tcBorders>
              <w:top w:val="single" w:color="auto" w:sz="12"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食品安全事务、农产品检测、创建食品安全示范县</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年度预算金额</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项目主管部门</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双牌县市场监督管理局</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项目立项目的</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提高执法能力，抓好监管工作</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50" w:hRule="atLeast"/>
        </w:trPr>
        <w:tc>
          <w:tcPr>
            <w:tcW w:w="1559"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绩效情况</w:t>
            </w: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项目支出管理和使用基本情况</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eastAsia="zh-CN"/>
              </w:rPr>
              <w:t>加大食品创建力度，努力落实食品安全“两个责任”机制包保工作，提高食品监管能力</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54"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项目绩效目标完成情况</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完成食品安全宣传，进行了资料印刷，广告投放，落实了食品安全“两个责任”机制包保工作</w:t>
            </w:r>
          </w:p>
          <w:p>
            <w:pPr>
              <w:spacing w:beforeLines="0" w:afterLines="0"/>
              <w:jc w:val="center"/>
              <w:rPr>
                <w:rFonts w:hint="eastAsia" w:asciiTheme="minorEastAsia" w:hAnsiTheme="minorEastAsia" w:eastAsiaTheme="minorEastAsia" w:cs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67" w:hRule="atLeast"/>
        </w:trPr>
        <w:tc>
          <w:tcPr>
            <w:tcW w:w="1559"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存在的问题分析及改进措施</w:t>
            </w: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存在的问题</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预算执行率有待提高，由于预算项目未及时报账导致年末预算资金未形成支出；专项资金少，资金压力大，针对我局经济基础薄弱、资金压力大的现状，重点产业项目尚需进一步的加强。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89"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改进措施</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加强部门预算管理,合理安排财政资金。增强行政成本意识，细化经费预算编制，在保证单位正常工作需要的人员经费和公用经费的前提下，严格控制 “三公”经费支出。各项支出遵照预算执行，确保支出与预算的对应衔接，着力提高预算执行力。</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96" w:hRule="atLeast"/>
        </w:trPr>
        <w:tc>
          <w:tcPr>
            <w:tcW w:w="1559" w:type="dxa"/>
            <w:vMerge w:val="continue"/>
            <w:tcBorders>
              <w:top w:val="single" w:color="auto" w:sz="6" w:space="0"/>
              <w:left w:val="single" w:color="auto" w:sz="12" w:space="0"/>
              <w:bottom w:val="single" w:color="auto" w:sz="12"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12"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其他需要说明问题</w:t>
            </w:r>
          </w:p>
        </w:tc>
        <w:tc>
          <w:tcPr>
            <w:tcW w:w="5645" w:type="dxa"/>
            <w:tcBorders>
              <w:top w:val="single" w:color="auto" w:sz="6" w:space="0"/>
              <w:left w:val="single" w:color="auto" w:sz="6" w:space="0"/>
              <w:bottom w:val="single" w:color="auto" w:sz="12" w:space="0"/>
              <w:right w:val="single" w:color="auto" w:sz="12" w:space="0"/>
              <w:tl2br w:val="nil"/>
              <w:tr2bl w:val="nil"/>
            </w:tcBorders>
            <w:noWrap w:val="0"/>
            <w:vAlign w:val="center"/>
          </w:tcPr>
          <w:p>
            <w:pPr>
              <w:spacing w:beforeLines="0" w:afterLines="0"/>
              <w:rPr>
                <w:rFonts w:hint="eastAsia" w:asciiTheme="minorEastAsia" w:hAnsiTheme="minorEastAsia" w:eastAsiaTheme="minorEastAsia" w:cstheme="minorEastAsia"/>
                <w:sz w:val="24"/>
                <w:szCs w:val="24"/>
              </w:rPr>
            </w:pPr>
          </w:p>
          <w:p>
            <w:pPr>
              <w:spacing w:beforeLines="0" w:afterLine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无</w:t>
            </w:r>
          </w:p>
          <w:p>
            <w:pPr>
              <w:spacing w:beforeLines="0" w:afterLines="0"/>
              <w:rPr>
                <w:rFonts w:hint="eastAsia" w:asciiTheme="minorEastAsia" w:hAnsiTheme="minorEastAsia" w:eastAsiaTheme="minorEastAsia" w:cstheme="minorEastAsia"/>
                <w:kern w:val="2"/>
                <w:sz w:val="24"/>
                <w:szCs w:val="24"/>
                <w:lang w:val="en-US" w:eastAsia="zh-CN" w:bidi="ar-SA"/>
              </w:rPr>
            </w:pPr>
          </w:p>
        </w:tc>
      </w:tr>
    </w:tbl>
    <w:p>
      <w:pPr>
        <w:spacing w:beforeLines="0" w:afterLines="0" w:line="320" w:lineRule="atLeast"/>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备注：每个项目支出分别填报自评报告和自评表。</w:t>
      </w:r>
    </w:p>
    <w:p>
      <w:pPr>
        <w:spacing w:beforeLines="0" w:afterLines="0" w:line="320" w:lineRule="atLeast"/>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填表人：       填报日期：         联系电话：         单位负责人签字：</w:t>
      </w:r>
    </w:p>
    <w:p>
      <w:pPr>
        <w:spacing w:beforeLines="0" w:afterLines="0" w:line="600" w:lineRule="exact"/>
        <w:jc w:val="left"/>
        <w:rPr>
          <w:rFonts w:hint="eastAsia" w:ascii="黑体" w:hAnsi="黑体" w:eastAsia="黑体" w:cs="黑体"/>
          <w:sz w:val="32"/>
          <w:szCs w:val="32"/>
        </w:rPr>
      </w:pPr>
    </w:p>
    <w:p>
      <w:pPr>
        <w:spacing w:beforeLines="0" w:afterLines="0" w:line="600" w:lineRule="exact"/>
        <w:jc w:val="left"/>
        <w:rPr>
          <w:rFonts w:hint="eastAsia" w:ascii="黑体" w:hAnsi="黑体" w:eastAsia="黑体" w:cs="黑体"/>
          <w:sz w:val="32"/>
          <w:szCs w:val="32"/>
        </w:rPr>
      </w:pPr>
    </w:p>
    <w:p>
      <w:pPr>
        <w:spacing w:beforeLines="0" w:afterLines="0" w:line="600" w:lineRule="exact"/>
        <w:jc w:val="left"/>
        <w:rPr>
          <w:rFonts w:hint="eastAsia" w:ascii="黑体" w:hAnsi="黑体" w:eastAsia="黑体" w:cs="黑体"/>
          <w:sz w:val="32"/>
          <w:szCs w:val="32"/>
        </w:rPr>
      </w:pPr>
    </w:p>
    <w:p>
      <w:pPr>
        <w:spacing w:beforeLines="0" w:afterLines="0" w:line="600" w:lineRule="exact"/>
        <w:jc w:val="left"/>
        <w:rPr>
          <w:rFonts w:hint="eastAsia" w:ascii="黑体" w:hAnsi="黑体" w:eastAsia="黑体" w:cs="黑体"/>
          <w:sz w:val="32"/>
          <w:szCs w:val="32"/>
        </w:rPr>
      </w:pPr>
    </w:p>
    <w:p>
      <w:pPr>
        <w:spacing w:beforeLines="0" w:afterLines="0" w:line="600" w:lineRule="exact"/>
        <w:jc w:val="left"/>
        <w:rPr>
          <w:rFonts w:hint="eastAsia" w:ascii="黑体" w:hAnsi="黑体" w:eastAsia="黑体" w:cs="黑体"/>
          <w:sz w:val="32"/>
          <w:szCs w:val="32"/>
        </w:rPr>
      </w:pPr>
    </w:p>
    <w:p>
      <w:pPr>
        <w:spacing w:beforeLines="0" w:afterLines="0" w:line="600" w:lineRule="exact"/>
        <w:jc w:val="left"/>
        <w:rPr>
          <w:rFonts w:hint="eastAsia" w:ascii="黑体" w:hAnsi="黑体" w:eastAsia="黑体" w:cs="黑体"/>
          <w:sz w:val="32"/>
          <w:szCs w:val="32"/>
        </w:rPr>
      </w:pPr>
    </w:p>
    <w:p>
      <w:pPr>
        <w:spacing w:beforeLines="0" w:afterLines="0" w:line="600" w:lineRule="exact"/>
        <w:jc w:val="left"/>
        <w:rPr>
          <w:rFonts w:hint="eastAsia" w:ascii="黑体" w:hAnsi="黑体" w:eastAsia="黑体" w:cs="黑体"/>
          <w:sz w:val="32"/>
          <w:szCs w:val="32"/>
        </w:rPr>
      </w:pPr>
    </w:p>
    <w:p>
      <w:pPr>
        <w:spacing w:beforeLines="0" w:afterLines="0" w:line="600" w:lineRule="exact"/>
        <w:jc w:val="left"/>
        <w:rPr>
          <w:rFonts w:hint="eastAsia" w:ascii="黑体" w:hAnsi="黑体" w:eastAsia="黑体" w:cs="黑体"/>
          <w:sz w:val="32"/>
          <w:szCs w:val="32"/>
        </w:rPr>
      </w:pPr>
    </w:p>
    <w:p>
      <w:pPr>
        <w:spacing w:beforeLines="0" w:afterLines="0" w:line="600" w:lineRule="exact"/>
        <w:jc w:val="left"/>
        <w:rPr>
          <w:rFonts w:hint="eastAsia" w:ascii="黑体" w:hAnsi="黑体" w:eastAsia="黑体" w:cs="黑体"/>
          <w:sz w:val="32"/>
          <w:szCs w:val="32"/>
        </w:rPr>
      </w:pPr>
    </w:p>
    <w:p>
      <w:pPr>
        <w:spacing w:beforeLines="0" w:afterLines="0" w:line="600" w:lineRule="exact"/>
        <w:jc w:val="left"/>
        <w:rPr>
          <w:rFonts w:hint="eastAsia" w:ascii="黑体" w:hAnsi="黑体" w:eastAsia="黑体" w:cs="黑体"/>
          <w:sz w:val="32"/>
          <w:szCs w:val="32"/>
        </w:rPr>
      </w:pPr>
    </w:p>
    <w:p>
      <w:pPr>
        <w:spacing w:beforeLines="0" w:afterLines="0" w:line="600" w:lineRule="exact"/>
        <w:jc w:val="left"/>
        <w:rPr>
          <w:rFonts w:hint="eastAsia" w:ascii="黑体" w:hAnsi="黑体" w:eastAsia="黑体" w:cs="黑体"/>
          <w:sz w:val="32"/>
          <w:szCs w:val="32"/>
        </w:rPr>
      </w:pPr>
    </w:p>
    <w:p>
      <w:pPr>
        <w:spacing w:beforeLines="0" w:afterLines="0" w:line="600" w:lineRule="exact"/>
        <w:jc w:val="left"/>
        <w:rPr>
          <w:rFonts w:hint="eastAsia" w:ascii="黑体" w:hAnsi="黑体" w:eastAsia="黑体" w:cs="黑体"/>
          <w:sz w:val="32"/>
          <w:szCs w:val="32"/>
        </w:rPr>
      </w:pPr>
    </w:p>
    <w:p>
      <w:pPr>
        <w:spacing w:beforeLines="0" w:afterLines="0" w:line="600" w:lineRule="exact"/>
        <w:jc w:val="left"/>
        <w:rPr>
          <w:rFonts w:hint="eastAsia" w:ascii="黑体" w:hAnsi="黑体" w:eastAsia="黑体" w:cs="黑体"/>
          <w:sz w:val="32"/>
          <w:szCs w:val="32"/>
        </w:rPr>
      </w:pPr>
    </w:p>
    <w:p>
      <w:pPr>
        <w:spacing w:beforeLines="0" w:afterLines="0" w:line="600" w:lineRule="exact"/>
        <w:jc w:val="left"/>
        <w:rPr>
          <w:rFonts w:hint="eastAsia" w:ascii="黑体" w:hAnsi="黑体" w:eastAsia="黑体" w:cs="黑体"/>
          <w:sz w:val="32"/>
          <w:szCs w:val="32"/>
        </w:rPr>
      </w:pPr>
    </w:p>
    <w:p>
      <w:pPr>
        <w:spacing w:beforeLines="0" w:afterLines="0" w:line="600" w:lineRule="exact"/>
        <w:jc w:val="left"/>
        <w:rPr>
          <w:rFonts w:hint="eastAsia" w:ascii="黑体" w:hAnsi="黑体" w:eastAsia="黑体" w:cs="黑体"/>
          <w:sz w:val="32"/>
          <w:szCs w:val="32"/>
        </w:rPr>
      </w:pPr>
    </w:p>
    <w:p>
      <w:pPr>
        <w:spacing w:beforeLines="0" w:afterLines="0" w:line="600" w:lineRule="exact"/>
        <w:jc w:val="left"/>
        <w:rPr>
          <w:rFonts w:hint="eastAsia" w:ascii="黑体" w:hAnsi="黑体" w:eastAsia="黑体" w:cs="黑体"/>
          <w:sz w:val="32"/>
          <w:szCs w:val="32"/>
        </w:rPr>
      </w:pPr>
    </w:p>
    <w:p>
      <w:pPr>
        <w:spacing w:beforeLines="0" w:afterLines="0" w:line="600" w:lineRule="exact"/>
        <w:jc w:val="left"/>
        <w:rPr>
          <w:rFonts w:hint="eastAsia" w:ascii="黑体" w:hAnsi="黑体" w:eastAsia="黑体" w:cs="黑体"/>
          <w:sz w:val="32"/>
          <w:szCs w:val="32"/>
        </w:rPr>
      </w:pPr>
    </w:p>
    <w:p>
      <w:pPr>
        <w:spacing w:beforeLines="0" w:afterLines="0" w:line="600" w:lineRule="exact"/>
        <w:jc w:val="left"/>
        <w:rPr>
          <w:rFonts w:hint="eastAsia" w:ascii="黑体" w:hAnsi="黑体" w:eastAsia="黑体" w:cs="黑体"/>
          <w:sz w:val="32"/>
          <w:szCs w:val="32"/>
        </w:rPr>
      </w:pPr>
      <w:r>
        <w:rPr>
          <w:rFonts w:hint="eastAsia" w:ascii="黑体" w:hAnsi="黑体" w:eastAsia="黑体" w:cs="黑体"/>
          <w:sz w:val="32"/>
          <w:szCs w:val="32"/>
        </w:rPr>
        <w:t>附件5</w:t>
      </w:r>
    </w:p>
    <w:p>
      <w:pPr>
        <w:spacing w:beforeLines="0" w:after="120" w:afterLines="50" w:line="600" w:lineRule="exact"/>
        <w:jc w:val="center"/>
        <w:outlineLvl w:val="1"/>
        <w:rPr>
          <w:rFonts w:hint="eastAsia" w:ascii="方正小标宋简体" w:eastAsia="方正小标宋简体"/>
          <w:sz w:val="44"/>
          <w:szCs w:val="24"/>
        </w:rPr>
      </w:pPr>
      <w:r>
        <w:rPr>
          <w:rFonts w:hint="eastAsia" w:ascii="方正小标宋简体" w:eastAsia="方正小标宋简体"/>
          <w:sz w:val="44"/>
          <w:szCs w:val="24"/>
        </w:rPr>
        <w:t>202</w:t>
      </w:r>
      <w:r>
        <w:rPr>
          <w:rFonts w:hint="eastAsia" w:ascii="方正小标宋简体" w:eastAsia="方正小标宋简体"/>
          <w:sz w:val="44"/>
          <w:szCs w:val="24"/>
          <w:lang w:val="en-US" w:eastAsia="zh-CN"/>
        </w:rPr>
        <w:t>4</w:t>
      </w:r>
      <w:r>
        <w:rPr>
          <w:rFonts w:hint="eastAsia" w:ascii="方正小标宋简体" w:eastAsia="方正小标宋简体"/>
          <w:sz w:val="44"/>
          <w:szCs w:val="24"/>
        </w:rPr>
        <w:t>年度项目支出绩效自评表</w:t>
      </w:r>
    </w:p>
    <w:tbl>
      <w:tblPr>
        <w:tblStyle w:val="7"/>
        <w:tblW w:w="945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21"/>
        <w:gridCol w:w="1085"/>
        <w:gridCol w:w="1085"/>
        <w:gridCol w:w="1230"/>
        <w:gridCol w:w="1140"/>
        <w:gridCol w:w="1140"/>
        <w:gridCol w:w="832"/>
        <w:gridCol w:w="877"/>
        <w:gridCol w:w="114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jc w:val="center"/>
        </w:trPr>
        <w:tc>
          <w:tcPr>
            <w:tcW w:w="921" w:type="dxa"/>
            <w:tcBorders>
              <w:top w:val="single" w:color="auto" w:sz="12" w:space="0"/>
              <w:left w:val="single" w:color="auto" w:sz="12" w:space="0"/>
              <w:bottom w:val="single" w:color="auto" w:sz="6" w:space="0"/>
              <w:right w:val="single" w:color="auto" w:sz="6" w:space="0"/>
              <w:tl2br w:val="nil"/>
              <w:tr2bl w:val="nil"/>
            </w:tcBorders>
            <w:noWrap w:val="0"/>
            <w:vAlign w:val="center"/>
          </w:tcPr>
          <w:p>
            <w:pPr>
              <w:spacing w:beforeLines="0" w:afterLines="0" w:line="26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项目支</w:t>
            </w:r>
          </w:p>
          <w:p>
            <w:pPr>
              <w:spacing w:beforeLines="0" w:afterLines="0" w:line="26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出名称</w:t>
            </w:r>
          </w:p>
        </w:tc>
        <w:tc>
          <w:tcPr>
            <w:tcW w:w="8535" w:type="dxa"/>
            <w:gridSpan w:val="8"/>
            <w:tcBorders>
              <w:top w:val="single" w:color="auto" w:sz="12"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sz w:val="21"/>
                <w:szCs w:val="21"/>
              </w:rPr>
              <w:t>食品安全事务、农产品检测费</w:t>
            </w: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8" w:hRule="atLeast"/>
          <w:jc w:val="center"/>
        </w:trPr>
        <w:tc>
          <w:tcPr>
            <w:tcW w:w="921"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主管部门</w:t>
            </w:r>
          </w:p>
        </w:tc>
        <w:tc>
          <w:tcPr>
            <w:tcW w:w="4540" w:type="dxa"/>
            <w:gridSpan w:val="4"/>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永州市市场监督管理局</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实施单位</w:t>
            </w:r>
          </w:p>
        </w:tc>
        <w:tc>
          <w:tcPr>
            <w:tcW w:w="2855" w:type="dxa"/>
            <w:gridSpan w:val="3"/>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双牌县市场监督管理局</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项目资金</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（万元）</w:t>
            </w: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年初</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预算数</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全年</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预算数</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全年</w:t>
            </w:r>
          </w:p>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执行数</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分值</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执行率</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年度资金总额　</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50</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50</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50</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10</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100%</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其中：当年财政拨款　</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50</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50</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50</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　10</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100%</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ind w:firstLine="720" w:firstLineChars="3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上年结转资金　</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ind w:firstLine="720" w:firstLineChars="3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其他资金</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8"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年度总体目标</w:t>
            </w:r>
          </w:p>
        </w:tc>
        <w:tc>
          <w:tcPr>
            <w:tcW w:w="4540" w:type="dxa"/>
            <w:gridSpan w:val="4"/>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预期目标</w:t>
            </w:r>
          </w:p>
        </w:tc>
        <w:tc>
          <w:tcPr>
            <w:tcW w:w="3995"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实际完成情况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4540" w:type="dxa"/>
            <w:gridSpan w:val="4"/>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lang w:val="en-US" w:eastAsia="zh-CN"/>
              </w:rPr>
              <w:t>抓好市场监管工作</w:t>
            </w:r>
            <w:r>
              <w:rPr>
                <w:rFonts w:hint="eastAsia" w:asciiTheme="minorEastAsia" w:hAnsiTheme="minorEastAsia" w:eastAsiaTheme="minorEastAsia" w:cstheme="minorEastAsia"/>
                <w:color w:val="000000"/>
                <w:sz w:val="24"/>
                <w:szCs w:val="24"/>
              </w:rPr>
              <w:t>　　</w:t>
            </w:r>
          </w:p>
        </w:tc>
        <w:tc>
          <w:tcPr>
            <w:tcW w:w="3995"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抓好市场监管工作</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40"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绩</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效</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指</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标</w:t>
            </w: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一级指标</w:t>
            </w: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二级指标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三级指标</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年度</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指标值</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实际</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完成值</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分值</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得分</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偏差原因</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分析及</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改进措施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3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成本指标</w:t>
            </w:r>
          </w:p>
          <w:p>
            <w:pPr>
              <w:spacing w:beforeLines="0" w:afterLines="0"/>
              <w:jc w:val="center"/>
              <w:rPr>
                <w:rFonts w:hint="eastAsia" w:asciiTheme="minorEastAsia" w:hAnsiTheme="minorEastAsia" w:eastAsiaTheme="minorEastAsia" w:cstheme="minorEastAsia"/>
                <w:color w:val="000000"/>
                <w:kern w:val="0"/>
                <w:sz w:val="24"/>
                <w:szCs w:val="24"/>
                <w:lang w:val="en"/>
              </w:rPr>
            </w:pPr>
            <w:r>
              <w:rPr>
                <w:rFonts w:hint="eastAsia" w:asciiTheme="minorEastAsia" w:hAnsiTheme="minorEastAsia" w:eastAsiaTheme="minorEastAsia" w:cstheme="minorEastAsia"/>
                <w:color w:val="000000"/>
                <w:kern w:val="0"/>
                <w:sz w:val="24"/>
                <w:szCs w:val="24"/>
                <w:lang w:val="en"/>
              </w:rPr>
              <w:t>（</w:t>
            </w:r>
            <w:r>
              <w:rPr>
                <w:rFonts w:hint="eastAsia" w:asciiTheme="minorEastAsia" w:hAnsiTheme="minorEastAsia" w:eastAsiaTheme="minorEastAsia" w:cstheme="minorEastAsia"/>
                <w:color w:val="000000"/>
                <w:kern w:val="0"/>
                <w:sz w:val="24"/>
                <w:szCs w:val="24"/>
              </w:rPr>
              <w:t>20分</w:t>
            </w:r>
            <w:r>
              <w:rPr>
                <w:rFonts w:hint="eastAsia" w:asciiTheme="minorEastAsia" w:hAnsiTheme="minorEastAsia" w:eastAsiaTheme="minorEastAsia" w:cstheme="minorEastAsia"/>
                <w:color w:val="000000"/>
                <w:kern w:val="0"/>
                <w:sz w:val="24"/>
                <w:szCs w:val="24"/>
                <w:lang w:val="en"/>
              </w:rPr>
              <w:t>）</w:t>
            </w: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经济成</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本指标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lang w:val="en-US" w:eastAsia="zh-CN"/>
              </w:rPr>
              <w:t>成本指标</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lang w:val="en-US" w:eastAsia="zh-CN"/>
              </w:rPr>
              <w:t>50</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50</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5</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5</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79" w:hRule="exac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社会成</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本指标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18"/>
                <w:szCs w:val="18"/>
              </w:rPr>
              <w:t>重大食品安全监管责任</w:t>
            </w:r>
            <w:r>
              <w:rPr>
                <w:rFonts w:hint="eastAsia" w:asciiTheme="minorEastAsia" w:hAnsiTheme="minorEastAsia" w:eastAsiaTheme="minorEastAsia" w:cstheme="minorEastAsia"/>
                <w:color w:val="000000"/>
                <w:sz w:val="20"/>
                <w:szCs w:val="20"/>
              </w:rPr>
              <w:t>事故</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lang w:val="en-US" w:eastAsia="zh-CN"/>
              </w:rPr>
              <w:t>0</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lang w:val="en-US" w:eastAsia="zh-CN"/>
              </w:rPr>
              <w:t>0</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lang w:val="en-US" w:eastAsia="zh-CN"/>
              </w:rPr>
              <w:t>5</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lang w:val="en-US" w:eastAsia="zh-CN"/>
              </w:rPr>
              <w:t>5</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lang w:val="en-US" w:eastAsia="zh-CN"/>
              </w:rPr>
              <w:t>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30"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lang w:val="en-US" w:eastAsia="zh-CN"/>
              </w:rPr>
              <w:t>促进企业新办</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lang w:val="en-US" w:eastAsia="zh-CN"/>
              </w:rPr>
              <w:t>稳中向好</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lang w:val="en-US" w:eastAsia="zh-CN"/>
              </w:rPr>
              <w:t>稳中向好</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lang w:val="en-US" w:eastAsia="zh-CN"/>
              </w:rPr>
              <w:t>5</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lang w:val="en-US" w:eastAsia="zh-CN"/>
              </w:rPr>
              <w:t>5</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lang w:val="en-US" w:eastAsia="zh-CN"/>
              </w:rPr>
              <w:t>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9"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生态环境</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成本指标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lang w:val="en-US" w:eastAsia="zh-CN"/>
              </w:rPr>
              <w:t>生态环境</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1"/>
                <w:szCs w:val="21"/>
                <w:lang w:val="en-US" w:eastAsia="zh-CN"/>
              </w:rPr>
              <w:t>稳中向好</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1"/>
                <w:szCs w:val="21"/>
                <w:lang w:val="en-US" w:eastAsia="zh-CN"/>
              </w:rPr>
              <w:t>稳中向好</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lang w:val="en-US" w:eastAsia="zh-CN"/>
              </w:rPr>
              <w:t>5</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lang w:val="en-US" w:eastAsia="zh-CN"/>
              </w:rPr>
              <w:t>5</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产出指标</w:t>
            </w:r>
          </w:p>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（40分）</w:t>
            </w: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数量指标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lang w:val="en-US" w:eastAsia="zh-CN"/>
              </w:rPr>
              <w:t>成本指标</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369.85</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369.85</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lang w:val="en-US" w:eastAsia="zh-CN"/>
              </w:rPr>
              <w:t>10</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lang w:val="en-US" w:eastAsia="zh-CN"/>
              </w:rPr>
              <w:t>10</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质量指标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0"/>
                <w:szCs w:val="20"/>
              </w:rPr>
              <w:t>检查食品经营户次数</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lang w:val="en-US" w:eastAsia="zh-CN"/>
              </w:rPr>
              <w:t>130家次</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lang w:val="en-US" w:eastAsia="zh-CN"/>
              </w:rPr>
              <w:t>130家次</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0"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2"/>
                <w:szCs w:val="22"/>
              </w:rPr>
              <w:t>检查覆盖率</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100%</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100%</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时效指标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1"/>
                <w:szCs w:val="21"/>
                <w:lang w:val="en-US" w:eastAsia="zh-CN"/>
              </w:rPr>
              <w:t>免费给新办企业刻印章覆盖率</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100%</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100%</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lang w:val="en-US" w:eastAsia="zh-CN"/>
              </w:rPr>
              <w:t>10</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lang w:val="en-US" w:eastAsia="zh-CN"/>
              </w:rPr>
              <w:t>10</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50"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2"/>
                <w:szCs w:val="22"/>
              </w:rPr>
              <w:t>补助资金预算执行率</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100%</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100%</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lang w:val="en-US" w:eastAsia="zh-CN"/>
              </w:rPr>
              <w:t>10</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lang w:val="en-US" w:eastAsia="zh-CN"/>
              </w:rPr>
              <w:t>10</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效益指标</w:t>
            </w:r>
          </w:p>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（20分）</w:t>
            </w: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经济效</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益指标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hint="eastAsia"/>
              </w:rPr>
              <w:t>促进市场主体培育</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hint="eastAsia"/>
              </w:rPr>
              <w:t>逐步提高</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hint="eastAsia"/>
              </w:rPr>
              <w:t>逐步提高</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hint="eastAsia"/>
              </w:rPr>
              <w:t>5</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hint="eastAsia"/>
              </w:rPr>
              <w:t>5</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hint="eastAsia"/>
              </w:rPr>
              <w:t>　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hint="eastAsia"/>
              </w:rPr>
              <w:t>保障食品行业健康有序发展</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hint="eastAsia"/>
              </w:rPr>
              <w:t>逐步提高</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2"/>
                <w:sz w:val="24"/>
                <w:szCs w:val="24"/>
                <w:lang w:val="en-US" w:eastAsia="zh-CN" w:bidi="ar-SA"/>
              </w:rPr>
            </w:pPr>
            <w:r>
              <w:rPr>
                <w:rFonts w:hint="eastAsia"/>
              </w:rPr>
              <w:t>逐步提高</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2"/>
                <w:sz w:val="24"/>
                <w:szCs w:val="24"/>
                <w:lang w:val="en-US" w:eastAsia="zh-CN" w:bidi="ar-SA"/>
              </w:rPr>
            </w:pPr>
            <w:r>
              <w:rPr>
                <w:rFonts w:hint="eastAsia"/>
              </w:rPr>
              <w:t>5</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hint="eastAsia"/>
              </w:rPr>
              <w:t>　5</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hint="eastAsia"/>
              </w:rPr>
              <w:t>　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3"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生态效</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益指标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hint="eastAsia"/>
              </w:rPr>
              <w:t>生态环境</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hint="eastAsia"/>
              </w:rPr>
              <w:t>　稳中向好</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hint="eastAsia"/>
              </w:rPr>
              <w:t>　稳中向好</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hint="eastAsia"/>
              </w:rPr>
              <w:t>　5</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hint="eastAsia"/>
              </w:rPr>
              <w:t>　5</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hint="eastAsia"/>
              </w:rPr>
              <w:t>　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社会效</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益指标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18"/>
                <w:szCs w:val="18"/>
                <w:lang w:val="en-US" w:eastAsia="zh-CN"/>
              </w:rPr>
              <w:t>双牌市场主体发展情况</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lang w:val="en-US" w:eastAsia="zh-CN"/>
              </w:rPr>
              <w:t>逐步提高</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lang w:val="en-US" w:eastAsia="zh-CN"/>
              </w:rPr>
              <w:t>逐步提高</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lang w:val="en-US" w:eastAsia="zh-CN"/>
              </w:rPr>
              <w:t>5</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lang w:val="en-US" w:eastAsia="zh-CN"/>
              </w:rPr>
              <w:t>5</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7"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满意度</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指标</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（10分）</w:t>
            </w: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服务对象满意度指标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hint="eastAsia"/>
              </w:rPr>
              <w:t>群众对监管成果的满意度</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hint="eastAsia"/>
              </w:rPr>
              <w:t>　90%</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hint="eastAsia"/>
              </w:rPr>
              <w:t>　90%</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hint="eastAsia"/>
              </w:rPr>
              <w:t>10</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hint="eastAsia"/>
              </w:rPr>
              <w:t>10</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hint="eastAsia"/>
              </w:rPr>
              <w:t>　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9" w:hRule="atLeast"/>
          <w:jc w:val="center"/>
        </w:trPr>
        <w:tc>
          <w:tcPr>
            <w:tcW w:w="6601" w:type="dxa"/>
            <w:gridSpan w:val="6"/>
            <w:tcBorders>
              <w:top w:val="single" w:color="auto" w:sz="6" w:space="0"/>
              <w:left w:val="single" w:color="auto" w:sz="12" w:space="0"/>
              <w:bottom w:val="single" w:color="auto" w:sz="12"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总分</w:t>
            </w:r>
          </w:p>
        </w:tc>
        <w:tc>
          <w:tcPr>
            <w:tcW w:w="832" w:type="dxa"/>
            <w:tcBorders>
              <w:top w:val="single" w:color="auto" w:sz="6" w:space="0"/>
              <w:left w:val="single" w:color="auto" w:sz="6" w:space="0"/>
              <w:bottom w:val="single" w:color="auto" w:sz="12"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100</w:t>
            </w:r>
          </w:p>
        </w:tc>
        <w:tc>
          <w:tcPr>
            <w:tcW w:w="877" w:type="dxa"/>
            <w:tcBorders>
              <w:top w:val="single" w:color="auto" w:sz="6" w:space="0"/>
              <w:left w:val="single" w:color="auto" w:sz="6" w:space="0"/>
              <w:bottom w:val="single" w:color="auto" w:sz="12"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6" w:type="dxa"/>
            <w:tcBorders>
              <w:top w:val="single" w:color="auto" w:sz="6" w:space="0"/>
              <w:left w:val="single" w:color="auto" w:sz="6" w:space="0"/>
              <w:bottom w:val="single" w:color="auto" w:sz="12"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bl>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备注：每个项目支出分别填报自评报告和自评表。</w:t>
      </w:r>
    </w:p>
    <w:p>
      <w:pPr>
        <w:spacing w:beforeLines="0" w:afterLines="0"/>
        <w:jc w:val="left"/>
        <w:rPr>
          <w:rFonts w:hint="eastAsia" w:asciiTheme="minorEastAsia" w:hAnsiTheme="minorEastAsia" w:eastAsiaTheme="minorEastAsia" w:cstheme="minorEastAsia"/>
          <w:sz w:val="24"/>
          <w:szCs w:val="24"/>
        </w:rPr>
      </w:pPr>
    </w:p>
    <w:p>
      <w:pPr>
        <w:spacing w:beforeLines="0" w:afterLines="0"/>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填表人：       填报日期：         联系电话：         单位负责人签</w:t>
      </w:r>
      <w:r>
        <w:rPr>
          <w:rFonts w:hint="eastAsia" w:asciiTheme="minorEastAsia" w:hAnsiTheme="minorEastAsia" w:eastAsiaTheme="minorEastAsia" w:cstheme="minorEastAsia"/>
          <w:sz w:val="24"/>
          <w:szCs w:val="24"/>
          <w:lang w:val="en-US" w:eastAsia="zh-CN"/>
        </w:rPr>
        <w:t>字：</w:t>
      </w:r>
    </w:p>
    <w:p>
      <w:pPr>
        <w:pStyle w:val="2"/>
        <w:ind w:left="0" w:leftChars="0" w:firstLine="0" w:firstLineChars="0"/>
        <w:rPr>
          <w:rFonts w:hint="eastAsia" w:asciiTheme="minorEastAsia" w:hAnsiTheme="minorEastAsia" w:eastAsiaTheme="minorEastAsia" w:cstheme="minorEastAsia"/>
          <w:sz w:val="24"/>
          <w:szCs w:val="24"/>
          <w:lang w:val="en-US" w:eastAsia="zh-CN"/>
        </w:rPr>
      </w:pPr>
    </w:p>
    <w:p>
      <w:pPr>
        <w:pStyle w:val="2"/>
        <w:ind w:left="0" w:leftChars="0" w:firstLine="0" w:firstLineChars="0"/>
        <w:rPr>
          <w:rFonts w:hint="eastAsia" w:asciiTheme="minorEastAsia" w:hAnsiTheme="minorEastAsia" w:eastAsiaTheme="minorEastAsia" w:cstheme="minor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outlineLvl w:val="1"/>
        <w:rPr>
          <w:rFonts w:hint="eastAsia" w:ascii="方正小标宋简体" w:eastAsia="方正小标宋简体"/>
          <w:sz w:val="44"/>
          <w:szCs w:val="24"/>
        </w:rPr>
      </w:pPr>
      <w:r>
        <w:rPr>
          <w:rFonts w:hint="eastAsia" w:ascii="方正小标宋简体" w:eastAsia="方正小标宋简体"/>
          <w:sz w:val="44"/>
          <w:szCs w:val="24"/>
        </w:rPr>
        <w:t>202</w:t>
      </w:r>
      <w:r>
        <w:rPr>
          <w:rFonts w:hint="eastAsia" w:ascii="方正小标宋简体" w:eastAsia="方正小标宋简体"/>
          <w:sz w:val="44"/>
          <w:szCs w:val="24"/>
          <w:lang w:val="en-US" w:eastAsia="zh-CN"/>
        </w:rPr>
        <w:t>4</w:t>
      </w:r>
      <w:r>
        <w:rPr>
          <w:rFonts w:hint="eastAsia" w:ascii="方正小标宋简体" w:eastAsia="方正小标宋简体"/>
          <w:sz w:val="44"/>
          <w:szCs w:val="24"/>
        </w:rPr>
        <w:t>年度项目支出绩效自评报告</w:t>
      </w:r>
    </w:p>
    <w:tbl>
      <w:tblPr>
        <w:tblStyle w:val="7"/>
        <w:tblpPr w:leftFromText="180" w:rightFromText="180" w:vertAnchor="text" w:horzAnchor="margin" w:tblpXSpec="center" w:tblpY="189"/>
        <w:tblW w:w="917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59"/>
        <w:gridCol w:w="1975"/>
        <w:gridCol w:w="564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7" w:hRule="atLeast"/>
        </w:trPr>
        <w:tc>
          <w:tcPr>
            <w:tcW w:w="1559" w:type="dxa"/>
            <w:vMerge w:val="restart"/>
            <w:tcBorders>
              <w:top w:val="single" w:color="auto" w:sz="12"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部门概况</w:t>
            </w:r>
          </w:p>
        </w:tc>
        <w:tc>
          <w:tcPr>
            <w:tcW w:w="1975" w:type="dxa"/>
            <w:tcBorders>
              <w:top w:val="single" w:color="auto" w:sz="12"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专项名称</w:t>
            </w:r>
          </w:p>
        </w:tc>
        <w:tc>
          <w:tcPr>
            <w:tcW w:w="5645" w:type="dxa"/>
            <w:tcBorders>
              <w:top w:val="single" w:color="auto" w:sz="12"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知识产权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年度预算金额</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项目主管部门</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双牌县市场监督管理局</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项目立项目的</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完成双牌县发明专利任务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50" w:hRule="atLeast"/>
        </w:trPr>
        <w:tc>
          <w:tcPr>
            <w:tcW w:w="1559"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绩效情况</w:t>
            </w: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项目支出管理和使用基本情况</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完成双牌县发明专利任务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67"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项目绩效目标完成情况</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p>
            <w:pPr>
              <w:spacing w:beforeLines="0" w:afterLine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按质按量完成了双牌县发明专利任务</w:t>
            </w:r>
          </w:p>
          <w:p>
            <w:pPr>
              <w:spacing w:beforeLines="0" w:afterLines="0"/>
              <w:jc w:val="center"/>
              <w:rPr>
                <w:rFonts w:hint="eastAsia" w:asciiTheme="minorEastAsia" w:hAnsiTheme="minorEastAsia" w:eastAsiaTheme="minorEastAsia" w:cs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67" w:hRule="atLeast"/>
        </w:trPr>
        <w:tc>
          <w:tcPr>
            <w:tcW w:w="1559"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存在的问题分析及改进措施</w:t>
            </w: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存在的问题</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预算执行率有待提高，由于预算项目未及时报账导致年末预算资金未形成支出；专项资金少，资金压力大，针对我局经济基础薄弱、资金压力大的现状，重点产业项目尚需进一步的加强。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89"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改进措施</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加强部门预算管理,合理安排财政资金。增强行政成本意识，细化经费预算编制，在保证单位正常工作需要的人员经费和公用经费的前提下，严格控制 “三公”经费支出。各项支出遵照预算执行，确保支出与预算的对应衔接，着力提高预算执行力。</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96" w:hRule="atLeast"/>
        </w:trPr>
        <w:tc>
          <w:tcPr>
            <w:tcW w:w="1559" w:type="dxa"/>
            <w:vMerge w:val="continue"/>
            <w:tcBorders>
              <w:top w:val="single" w:color="auto" w:sz="6" w:space="0"/>
              <w:left w:val="single" w:color="auto" w:sz="12" w:space="0"/>
              <w:bottom w:val="single" w:color="auto" w:sz="12"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12"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其他需要说明问题</w:t>
            </w:r>
          </w:p>
        </w:tc>
        <w:tc>
          <w:tcPr>
            <w:tcW w:w="5645" w:type="dxa"/>
            <w:tcBorders>
              <w:top w:val="single" w:color="auto" w:sz="6" w:space="0"/>
              <w:left w:val="single" w:color="auto" w:sz="6" w:space="0"/>
              <w:bottom w:val="single" w:color="auto" w:sz="12" w:space="0"/>
              <w:right w:val="single" w:color="auto" w:sz="12" w:space="0"/>
              <w:tl2br w:val="nil"/>
              <w:tr2bl w:val="nil"/>
            </w:tcBorders>
            <w:noWrap w:val="0"/>
            <w:vAlign w:val="center"/>
          </w:tcPr>
          <w:p>
            <w:pPr>
              <w:spacing w:beforeLines="0" w:afterLines="0"/>
              <w:rPr>
                <w:rFonts w:hint="eastAsia" w:asciiTheme="minorEastAsia" w:hAnsiTheme="minorEastAsia" w:eastAsiaTheme="minorEastAsia" w:cstheme="minorEastAsia"/>
                <w:sz w:val="24"/>
                <w:szCs w:val="24"/>
              </w:rPr>
            </w:pPr>
          </w:p>
          <w:p>
            <w:pPr>
              <w:spacing w:beforeLines="0" w:afterLine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无</w:t>
            </w:r>
          </w:p>
          <w:p>
            <w:pPr>
              <w:spacing w:beforeLines="0" w:afterLines="0"/>
              <w:rPr>
                <w:rFonts w:hint="eastAsia" w:asciiTheme="minorEastAsia" w:hAnsiTheme="minorEastAsia" w:eastAsiaTheme="minorEastAsia" w:cstheme="minorEastAsia"/>
                <w:kern w:val="2"/>
                <w:sz w:val="24"/>
                <w:szCs w:val="24"/>
                <w:lang w:val="en-US" w:eastAsia="zh-CN" w:bidi="ar-SA"/>
              </w:rPr>
            </w:pPr>
          </w:p>
        </w:tc>
      </w:tr>
    </w:tbl>
    <w:p>
      <w:pPr>
        <w:spacing w:beforeLines="0" w:afterLines="0" w:line="320" w:lineRule="atLeast"/>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备注：每个项目支出分别填报自评报告和自评表。</w:t>
      </w:r>
    </w:p>
    <w:p>
      <w:pPr>
        <w:spacing w:beforeLines="0" w:afterLines="0" w:line="320" w:lineRule="atLeast"/>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填表人：       填报日期：         联系电话：         单位负责人签字：</w:t>
      </w:r>
    </w:p>
    <w:p>
      <w:pPr>
        <w:spacing w:beforeLines="0" w:afterLines="0" w:line="600" w:lineRule="exact"/>
        <w:jc w:val="left"/>
        <w:rPr>
          <w:rFonts w:hint="eastAsia" w:ascii="黑体" w:hAnsi="黑体" w:eastAsia="黑体" w:cs="黑体"/>
          <w:sz w:val="32"/>
          <w:szCs w:val="32"/>
        </w:rPr>
      </w:pPr>
      <w:r>
        <w:rPr>
          <w:rFonts w:hint="eastAsia" w:ascii="黑体" w:hAnsi="黑体" w:eastAsia="黑体" w:cs="黑体"/>
          <w:sz w:val="32"/>
          <w:szCs w:val="32"/>
        </w:rPr>
        <w:t>附件5</w:t>
      </w:r>
    </w:p>
    <w:p>
      <w:pPr>
        <w:spacing w:beforeLines="0" w:after="120" w:afterLines="50" w:line="600" w:lineRule="exact"/>
        <w:jc w:val="center"/>
        <w:outlineLvl w:val="1"/>
        <w:rPr>
          <w:rFonts w:hint="eastAsia" w:ascii="方正小标宋简体" w:eastAsia="方正小标宋简体"/>
          <w:sz w:val="44"/>
          <w:szCs w:val="24"/>
        </w:rPr>
      </w:pPr>
      <w:r>
        <w:rPr>
          <w:rFonts w:hint="eastAsia" w:ascii="方正小标宋简体" w:eastAsia="方正小标宋简体"/>
          <w:sz w:val="44"/>
          <w:szCs w:val="24"/>
        </w:rPr>
        <w:t>202</w:t>
      </w:r>
      <w:r>
        <w:rPr>
          <w:rFonts w:hint="eastAsia" w:ascii="方正小标宋简体" w:eastAsia="方正小标宋简体"/>
          <w:sz w:val="44"/>
          <w:szCs w:val="24"/>
          <w:lang w:val="en-US" w:eastAsia="zh-CN"/>
        </w:rPr>
        <w:t>4</w:t>
      </w:r>
      <w:r>
        <w:rPr>
          <w:rFonts w:hint="eastAsia" w:ascii="方正小标宋简体" w:eastAsia="方正小标宋简体"/>
          <w:sz w:val="44"/>
          <w:szCs w:val="24"/>
        </w:rPr>
        <w:t>年度项目支出绩效自评表</w:t>
      </w:r>
    </w:p>
    <w:tbl>
      <w:tblPr>
        <w:tblStyle w:val="7"/>
        <w:tblW w:w="945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21"/>
        <w:gridCol w:w="1085"/>
        <w:gridCol w:w="1085"/>
        <w:gridCol w:w="1230"/>
        <w:gridCol w:w="1140"/>
        <w:gridCol w:w="1140"/>
        <w:gridCol w:w="832"/>
        <w:gridCol w:w="877"/>
        <w:gridCol w:w="114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jc w:val="center"/>
        </w:trPr>
        <w:tc>
          <w:tcPr>
            <w:tcW w:w="921" w:type="dxa"/>
            <w:tcBorders>
              <w:top w:val="single" w:color="auto" w:sz="12" w:space="0"/>
              <w:left w:val="single" w:color="auto" w:sz="12" w:space="0"/>
              <w:bottom w:val="single" w:color="auto" w:sz="6" w:space="0"/>
              <w:right w:val="single" w:color="auto" w:sz="6" w:space="0"/>
              <w:tl2br w:val="nil"/>
              <w:tr2bl w:val="nil"/>
            </w:tcBorders>
            <w:noWrap w:val="0"/>
            <w:vAlign w:val="center"/>
          </w:tcPr>
          <w:p>
            <w:pPr>
              <w:spacing w:beforeLines="0" w:afterLines="0" w:line="26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项目支</w:t>
            </w:r>
          </w:p>
          <w:p>
            <w:pPr>
              <w:spacing w:beforeLines="0" w:afterLines="0" w:line="26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出名称</w:t>
            </w:r>
          </w:p>
        </w:tc>
        <w:tc>
          <w:tcPr>
            <w:tcW w:w="8535" w:type="dxa"/>
            <w:gridSpan w:val="8"/>
            <w:tcBorders>
              <w:top w:val="single" w:color="auto" w:sz="12"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知识产权</w:t>
            </w: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8" w:hRule="atLeast"/>
          <w:jc w:val="center"/>
        </w:trPr>
        <w:tc>
          <w:tcPr>
            <w:tcW w:w="921"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主管部门</w:t>
            </w:r>
          </w:p>
        </w:tc>
        <w:tc>
          <w:tcPr>
            <w:tcW w:w="4540" w:type="dxa"/>
            <w:gridSpan w:val="4"/>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永州市市场监督管理局</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实施单位</w:t>
            </w:r>
          </w:p>
        </w:tc>
        <w:tc>
          <w:tcPr>
            <w:tcW w:w="2855" w:type="dxa"/>
            <w:gridSpan w:val="3"/>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双牌县市场监督管理局</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项目资金</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（万元）</w:t>
            </w: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年初</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预算数</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全年</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预算数</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全年</w:t>
            </w:r>
          </w:p>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执行数</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分值</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执行率</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年度资金总额　</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9</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eastAsia="宋体"/>
                <w:lang w:val="en-US" w:eastAsia="zh-CN"/>
              </w:rPr>
            </w:pPr>
            <w:r>
              <w:rPr>
                <w:rFonts w:hint="eastAsia"/>
              </w:rPr>
              <w:t>　</w:t>
            </w:r>
            <w:r>
              <w:rPr>
                <w:rFonts w:hint="eastAsia" w:eastAsia="宋体"/>
                <w:lang w:val="en-US" w:eastAsia="zh-CN"/>
              </w:rPr>
              <w:t>9</w:t>
            </w:r>
          </w:p>
          <w:p>
            <w:pPr>
              <w:pStyle w:val="2"/>
              <w:rPr>
                <w:rFonts w:hint="eastAsia"/>
                <w:lang w:val="en-US" w:eastAsia="zh-CN"/>
              </w:rPr>
            </w:pP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9</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10</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100%</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其中：当年财政拨款　</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9</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9</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9</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100%</w:t>
            </w:r>
            <w:r>
              <w:rPr>
                <w:rFonts w:hint="eastAsia" w:asciiTheme="minorEastAsia" w:hAnsiTheme="minorEastAsia" w:eastAsiaTheme="minorEastAsia" w:cstheme="minorEastAsia"/>
                <w:color w:val="000000"/>
                <w:sz w:val="24"/>
                <w:szCs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ind w:firstLine="720" w:firstLineChars="3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上年结转资金　</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ind w:firstLine="720" w:firstLineChars="3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其他资金</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8"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年度总体目标</w:t>
            </w:r>
          </w:p>
        </w:tc>
        <w:tc>
          <w:tcPr>
            <w:tcW w:w="4540" w:type="dxa"/>
            <w:gridSpan w:val="4"/>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预期目标</w:t>
            </w:r>
          </w:p>
        </w:tc>
        <w:tc>
          <w:tcPr>
            <w:tcW w:w="3995"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实际完成情况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4540" w:type="dxa"/>
            <w:gridSpan w:val="4"/>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sz w:val="24"/>
                <w:szCs w:val="24"/>
                <w:lang w:val="en-US" w:eastAsia="zh-CN"/>
              </w:rPr>
              <w:t>完成双牌县发明专利任务</w:t>
            </w:r>
            <w:r>
              <w:rPr>
                <w:rFonts w:hint="eastAsia" w:asciiTheme="minorEastAsia" w:hAnsiTheme="minorEastAsia" w:eastAsiaTheme="minorEastAsia" w:cstheme="minorEastAsia"/>
                <w:color w:val="000000"/>
                <w:sz w:val="24"/>
                <w:szCs w:val="24"/>
              </w:rPr>
              <w:t>　</w:t>
            </w:r>
          </w:p>
        </w:tc>
        <w:tc>
          <w:tcPr>
            <w:tcW w:w="3995"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sz w:val="24"/>
                <w:szCs w:val="24"/>
                <w:lang w:val="en-US" w:eastAsia="zh-CN"/>
              </w:rPr>
              <w:t>完成双牌县发明专利任务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40"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绩</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效</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指</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标</w:t>
            </w: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一级指标</w:t>
            </w: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二级指标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三级指标</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年度</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指标值</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实际</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完成值</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分值</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得分</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偏差原因</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分析及</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改进措施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3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成本指标</w:t>
            </w:r>
          </w:p>
          <w:p>
            <w:pPr>
              <w:spacing w:beforeLines="0" w:afterLines="0"/>
              <w:jc w:val="center"/>
              <w:rPr>
                <w:rFonts w:hint="eastAsia" w:asciiTheme="minorEastAsia" w:hAnsiTheme="minorEastAsia" w:eastAsiaTheme="minorEastAsia" w:cstheme="minorEastAsia"/>
                <w:color w:val="000000"/>
                <w:kern w:val="0"/>
                <w:sz w:val="24"/>
                <w:szCs w:val="24"/>
                <w:lang w:val="en"/>
              </w:rPr>
            </w:pPr>
            <w:r>
              <w:rPr>
                <w:rFonts w:hint="eastAsia" w:asciiTheme="minorEastAsia" w:hAnsiTheme="minorEastAsia" w:eastAsiaTheme="minorEastAsia" w:cstheme="minorEastAsia"/>
                <w:color w:val="000000"/>
                <w:kern w:val="0"/>
                <w:sz w:val="24"/>
                <w:szCs w:val="24"/>
                <w:lang w:val="en"/>
              </w:rPr>
              <w:t>（</w:t>
            </w:r>
            <w:r>
              <w:rPr>
                <w:rFonts w:hint="eastAsia" w:asciiTheme="minorEastAsia" w:hAnsiTheme="minorEastAsia" w:eastAsiaTheme="minorEastAsia" w:cstheme="minorEastAsia"/>
                <w:color w:val="000000"/>
                <w:kern w:val="0"/>
                <w:sz w:val="24"/>
                <w:szCs w:val="24"/>
              </w:rPr>
              <w:t>20分</w:t>
            </w:r>
            <w:r>
              <w:rPr>
                <w:rFonts w:hint="eastAsia" w:asciiTheme="minorEastAsia" w:hAnsiTheme="minorEastAsia" w:eastAsiaTheme="minorEastAsia" w:cstheme="minorEastAsia"/>
                <w:color w:val="000000"/>
                <w:kern w:val="0"/>
                <w:sz w:val="24"/>
                <w:szCs w:val="24"/>
                <w:lang w:val="en"/>
              </w:rPr>
              <w:t>）</w:t>
            </w: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经济成</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本指标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发明专利成本</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9</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9</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5</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5</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34" w:hRule="exac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社会成</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本指标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lang w:val="en-US" w:eastAsia="zh-CN"/>
              </w:rPr>
              <w:t>促进企业新办</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lang w:val="en-US" w:eastAsia="zh-CN"/>
              </w:rPr>
              <w:t>稳中向好</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lang w:val="en-US" w:eastAsia="zh-CN"/>
              </w:rPr>
              <w:t>稳中向好</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lang w:val="en-US" w:eastAsia="zh-CN"/>
              </w:rPr>
              <w:t>5</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lang w:val="en-US" w:eastAsia="zh-CN"/>
              </w:rPr>
              <w:t>5</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lang w:val="en-US" w:eastAsia="zh-CN"/>
              </w:rPr>
              <w:t>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9"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生态环境</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成本指标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lang w:val="en-US" w:eastAsia="zh-CN"/>
              </w:rPr>
              <w:t>生态环境</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1"/>
                <w:szCs w:val="21"/>
                <w:lang w:val="en-US" w:eastAsia="zh-CN"/>
              </w:rPr>
              <w:t>稳中向好</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1"/>
                <w:szCs w:val="21"/>
                <w:lang w:val="en-US" w:eastAsia="zh-CN"/>
              </w:rPr>
              <w:t>稳中向好</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lang w:val="en-US" w:eastAsia="zh-CN"/>
              </w:rPr>
              <w:t>5</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lang w:val="en-US" w:eastAsia="zh-CN"/>
              </w:rPr>
              <w:t>5</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3"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lang w:val="en-US" w:eastAsia="zh-CN"/>
              </w:rPr>
              <w:t>成本指标</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lang w:val="en-US" w:eastAsia="zh-CN"/>
              </w:rPr>
              <w:t>9</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lang w:val="en-US" w:eastAsia="zh-CN"/>
              </w:rPr>
              <w:t>9</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lang w:val="en-US" w:eastAsia="zh-CN"/>
              </w:rPr>
              <w:t>10</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lang w:val="en-US" w:eastAsia="zh-CN"/>
              </w:rPr>
              <w:t>10</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产出指标</w:t>
            </w:r>
          </w:p>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（40分）</w:t>
            </w: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数量指标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每万人发明专利拥有量</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3.69</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3.69</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20</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20</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质量指标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项目验收率</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100%</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100%</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时效指标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2"/>
                <w:szCs w:val="22"/>
              </w:rPr>
              <w:t>补助资金预算执行率</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100%</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100%</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lang w:val="en-US" w:eastAsia="zh-CN"/>
              </w:rPr>
              <w:t>10</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lang w:val="en-US" w:eastAsia="zh-CN"/>
              </w:rPr>
              <w:t>10</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效益指标</w:t>
            </w:r>
          </w:p>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（20分）</w:t>
            </w: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经济效</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益指标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提高发明专利经济价值</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逐步提升</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逐步提升</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5</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5</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3"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生态效</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益指标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hint="eastAsia"/>
              </w:rPr>
              <w:t>生态环境</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hint="eastAsia"/>
              </w:rPr>
              <w:t>　稳中向好</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hint="eastAsia"/>
              </w:rPr>
              <w:t>　稳中向好</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hint="eastAsia"/>
              </w:rPr>
              <w:t>　5</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hint="eastAsia"/>
              </w:rPr>
              <w:t>　5</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hint="eastAsia"/>
              </w:rPr>
              <w:t>　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社会效</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益指标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18"/>
                <w:szCs w:val="18"/>
                <w:lang w:val="en-US" w:eastAsia="zh-CN"/>
              </w:rPr>
              <w:t>双牌市场主体发展情况</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lang w:val="en-US" w:eastAsia="zh-CN"/>
              </w:rPr>
              <w:t>逐步提高</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lang w:val="en-US" w:eastAsia="zh-CN"/>
              </w:rPr>
              <w:t>逐步提高</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lang w:val="en-US" w:eastAsia="zh-CN"/>
              </w:rPr>
              <w:t>5</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lang w:val="en-US" w:eastAsia="zh-CN"/>
              </w:rPr>
              <w:t>5</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7"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满意度</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指标</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（10分）</w:t>
            </w: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服务对象满意度指标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hint="eastAsia"/>
              </w:rPr>
              <w:t>群众对监管成果的满意度</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hint="eastAsia"/>
              </w:rPr>
              <w:t>　90%</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hint="eastAsia"/>
              </w:rPr>
              <w:t>　90%</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hint="eastAsia"/>
              </w:rPr>
              <w:t>10</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hint="eastAsia"/>
              </w:rPr>
              <w:t>10</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hint="eastAsia"/>
              </w:rPr>
              <w:t>　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9" w:hRule="atLeast"/>
          <w:jc w:val="center"/>
        </w:trPr>
        <w:tc>
          <w:tcPr>
            <w:tcW w:w="6601" w:type="dxa"/>
            <w:gridSpan w:val="6"/>
            <w:tcBorders>
              <w:top w:val="single" w:color="auto" w:sz="6" w:space="0"/>
              <w:left w:val="single" w:color="auto" w:sz="12" w:space="0"/>
              <w:bottom w:val="single" w:color="auto" w:sz="12"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总分</w:t>
            </w:r>
          </w:p>
        </w:tc>
        <w:tc>
          <w:tcPr>
            <w:tcW w:w="832" w:type="dxa"/>
            <w:tcBorders>
              <w:top w:val="single" w:color="auto" w:sz="6" w:space="0"/>
              <w:left w:val="single" w:color="auto" w:sz="6" w:space="0"/>
              <w:bottom w:val="single" w:color="auto" w:sz="12"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100</w:t>
            </w:r>
          </w:p>
        </w:tc>
        <w:tc>
          <w:tcPr>
            <w:tcW w:w="877" w:type="dxa"/>
            <w:tcBorders>
              <w:top w:val="single" w:color="auto" w:sz="6" w:space="0"/>
              <w:left w:val="single" w:color="auto" w:sz="6" w:space="0"/>
              <w:bottom w:val="single" w:color="auto" w:sz="12"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100</w:t>
            </w:r>
          </w:p>
        </w:tc>
        <w:tc>
          <w:tcPr>
            <w:tcW w:w="1146" w:type="dxa"/>
            <w:tcBorders>
              <w:top w:val="single" w:color="auto" w:sz="6" w:space="0"/>
              <w:left w:val="single" w:color="auto" w:sz="6" w:space="0"/>
              <w:bottom w:val="single" w:color="auto" w:sz="12"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无</w:t>
            </w:r>
          </w:p>
        </w:tc>
      </w:tr>
    </w:tbl>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备注：每个项目支出分别填报自评报告和自评表。</w:t>
      </w:r>
    </w:p>
    <w:p>
      <w:pPr>
        <w:spacing w:beforeLines="0" w:afterLines="0"/>
        <w:jc w:val="left"/>
        <w:rPr>
          <w:rFonts w:hint="eastAsia" w:asciiTheme="minorEastAsia" w:hAnsiTheme="minorEastAsia" w:eastAsiaTheme="minorEastAsia" w:cstheme="minorEastAsia"/>
          <w:sz w:val="24"/>
          <w:szCs w:val="24"/>
        </w:rPr>
      </w:pPr>
    </w:p>
    <w:p>
      <w:pPr>
        <w:spacing w:beforeLines="0" w:afterLines="0"/>
        <w:jc w:val="left"/>
        <w:rPr>
          <w:rFonts w:hint="eastAsia" w:eastAsiaTheme="minorEastAsia"/>
          <w:sz w:val="22"/>
          <w:szCs w:val="24"/>
          <w:lang w:eastAsia="zh-CN"/>
        </w:rPr>
        <w:sectPr>
          <w:footerReference r:id="rId5" w:type="default"/>
          <w:footerReference r:id="rId6" w:type="even"/>
          <w:pgSz w:w="11905" w:h="16837"/>
          <w:pgMar w:top="1440" w:right="1701" w:bottom="1440" w:left="1701" w:header="851" w:footer="1474" w:gutter="0"/>
          <w:lnNumType w:countBy="0" w:distance="360"/>
          <w:pgNumType w:fmt="numberInDash" w:start="1"/>
          <w:cols w:space="0" w:num="1"/>
          <w:rtlGutter w:val="0"/>
          <w:docGrid w:type="lines" w:linePitch="636" w:charSpace="0"/>
        </w:sectPr>
      </w:pPr>
      <w:r>
        <w:rPr>
          <w:rFonts w:hint="eastAsia" w:asciiTheme="minorEastAsia" w:hAnsiTheme="minorEastAsia" w:eastAsiaTheme="minorEastAsia" w:cstheme="minorEastAsia"/>
          <w:sz w:val="24"/>
          <w:szCs w:val="24"/>
        </w:rPr>
        <w:t>填表人：       填报日期：         联系电话：         单位负责人签字</w:t>
      </w:r>
      <w:r>
        <w:rPr>
          <w:rFonts w:hint="eastAsia" w:asciiTheme="minorEastAsia" w:hAnsiTheme="minorEastAsia" w:eastAsiaTheme="minorEastAsia" w:cstheme="minorEastAsia"/>
          <w:sz w:val="24"/>
          <w:szCs w:val="24"/>
          <w:lang w:eastAsia="zh-CN"/>
        </w:rPr>
        <w:t>：</w:t>
      </w:r>
    </w:p>
    <w:p>
      <w:pPr>
        <w:pStyle w:val="2"/>
        <w:ind w:left="0" w:leftChars="0" w:firstLine="0" w:firstLineChars="0"/>
        <w:rPr>
          <w:rFonts w:hint="eastAsia" w:asciiTheme="minorEastAsia" w:hAnsiTheme="minorEastAsia" w:eastAsiaTheme="minorEastAsia" w:cstheme="minorEastAsia"/>
          <w:sz w:val="24"/>
          <w:szCs w:val="24"/>
          <w:lang w:val="en-US" w:eastAsia="zh-CN"/>
        </w:rPr>
        <w:sectPr>
          <w:footerReference r:id="rId7" w:type="default"/>
          <w:footerReference r:id="rId8" w:type="even"/>
          <w:pgSz w:w="11905" w:h="16837"/>
          <w:pgMar w:top="1440" w:right="1701" w:bottom="1440" w:left="1701" w:header="851" w:footer="1474" w:gutter="0"/>
          <w:lnNumType w:countBy="0" w:distance="360"/>
          <w:pgNumType w:fmt="numberInDash" w:start="1"/>
          <w:cols w:space="0" w:num="1"/>
          <w:rtlGutter w:val="0"/>
          <w:docGrid w:type="lines" w:linePitch="636" w:charSpace="0"/>
        </w:sectPr>
      </w:pPr>
      <w:bookmarkStart w:id="0" w:name="_GoBack"/>
      <w:bookmarkEnd w:id="0"/>
    </w:p>
    <w:p>
      <w:pPr>
        <w:pStyle w:val="2"/>
        <w:ind w:left="0" w:leftChars="0" w:firstLine="0" w:firstLineChars="0"/>
        <w:rPr>
          <w:rFonts w:hint="eastAsia" w:asciiTheme="minorEastAsia" w:hAnsiTheme="minorEastAsia" w:eastAsiaTheme="minorEastAsia" w:cstheme="minorEastAsia"/>
          <w:sz w:val="24"/>
          <w:szCs w:val="24"/>
          <w:lang w:eastAsia="zh-CN"/>
        </w:rPr>
        <w:sectPr>
          <w:footerReference r:id="rId9" w:type="default"/>
          <w:footerReference r:id="rId10" w:type="even"/>
          <w:pgSz w:w="11905" w:h="16837"/>
          <w:pgMar w:top="1440" w:right="1701" w:bottom="1440" w:left="1701" w:header="851" w:footer="1474" w:gutter="0"/>
          <w:lnNumType w:countBy="0" w:distance="360"/>
          <w:pgNumType w:fmt="numberInDash" w:start="1"/>
          <w:cols w:space="0" w:num="1"/>
          <w:rtlGutter w:val="0"/>
          <w:docGrid w:type="lines" w:linePitch="636" w:charSpace="0"/>
        </w:sectPr>
      </w:pPr>
    </w:p>
    <w:p>
      <w:pPr>
        <w:rPr>
          <w:rFonts w:hint="default"/>
        </w:rPr>
      </w:pPr>
      <w:r>
        <w:rPr>
          <w:rFonts w:hint="default" w:eastAsia="仿宋_GB2312"/>
          <w:sz w:val="22"/>
        </w:rPr>
        <w:br w:type="page"/>
      </w:r>
    </w:p>
    <w:sectPr>
      <w:headerReference r:id="rId11" w:type="default"/>
      <w:footerReference r:id="rId13" w:type="default"/>
      <w:headerReference r:id="rId12" w:type="even"/>
      <w:footerReference r:id="rId14" w:type="even"/>
      <w:pgSz w:w="12240" w:h="15840"/>
      <w:pgMar w:top="1440" w:right="1800" w:bottom="1440" w:left="1800"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swiss"/>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modern"/>
    <w:pitch w:val="default"/>
    <w:sig w:usb0="00000000" w:usb1="00000000" w:usb2="00000016" w:usb3="00000000" w:csb0="00040001" w:csb1="00000000"/>
  </w:font>
  <w:font w:name="仿宋_GB2312">
    <w:altName w:val="方正仿宋_GBK"/>
    <w:panose1 w:val="00000000000000000000"/>
    <w:charset w:val="86"/>
    <w:family w:val="modern"/>
    <w:pitch w:val="default"/>
    <w:sig w:usb0="00000000" w:usb1="00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楷体_GB2312">
    <w:altName w:val="方正楷体_GBK"/>
    <w:panose1 w:val="00000000000000000000"/>
    <w:charset w:val="86"/>
    <w:family w:val="modern"/>
    <w:pitch w:val="default"/>
    <w:sig w:usb0="00000000" w:usb1="00000000" w:usb2="00000000" w:usb3="00000000" w:csb0="00040000" w:csb1="00000000"/>
  </w:font>
  <w:font w:name="Segoe UI">
    <w:altName w:val="Noto Music"/>
    <w:panose1 w:val="020B0502040204020203"/>
    <w:charset w:val="00"/>
    <w:family w:val="swiss"/>
    <w:pitch w:val="default"/>
    <w:sig w:usb0="00000000" w:usb1="00000000" w:usb2="00000029" w:usb3="00000000" w:csb0="000001D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Noto Music">
    <w:panose1 w:val="020B0502040504020204"/>
    <w:charset w:val="00"/>
    <w:family w:val="auto"/>
    <w:pitch w:val="default"/>
    <w:sig w:usb0="00000003" w:usb1="02006000" w:usb2="01000000" w:usb3="00000000" w:csb0="00000001" w:csb1="00000000"/>
  </w:font>
  <w:font w:name="方正宋体S-超大字符集">
    <w:panose1 w:val="02000000000000000000"/>
    <w:charset w:val="86"/>
    <w:family w:val="auto"/>
    <w:pitch w:val="default"/>
    <w:sig w:usb0="00000001" w:usb1="08000000" w:usb2="00000000" w:usb3="00000000" w:csb0="00040000" w:csb1="00000000"/>
  </w:font>
  <w:font w:name="Microsoft YaHei">
    <w:altName w:val="方正黑体_GBK"/>
    <w:panose1 w:val="00000000000000000000"/>
    <w:charset w:val="00"/>
    <w:family w:val="auto"/>
    <w:pitch w:val="default"/>
    <w:sig w:usb0="00000000" w:usb1="00000000" w:usb2="00000000" w:usb3="00000000" w:csb0="00000000" w:csb1="00000000"/>
  </w:font>
  <w:font w:name="Tahoma">
    <w:altName w:val="DejaVu San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uto" w:vAnchor="margin" w:hAnchor="text" w:xAlign="left" w:yAlign="inline"/>
      <w:spacing w:beforeLines="0" w:afterLines="0"/>
      <w:ind w:right="360" w:firstLine="360"/>
      <w:rPr>
        <w:rFonts w:hint="default"/>
        <w:sz w:val="28"/>
        <w:szCs w:val="24"/>
      </w:rPr>
    </w:pPr>
    <w:r>
      <w:rPr>
        <w:rFonts w:hint="default"/>
        <w:sz w:val="28"/>
        <w:szCs w:val="24"/>
      </w:rPr>
      <w:pict>
        <v:shape id="_x0000_s1030" o:spid="_x0000_s1030"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WAAAAZHJzL1BLAQIUABQAAAAIAIdO4kDOqXm5zwAAAAUBAAAPAAAAAAAAAAEA&#10;IAAAADgAAABkcnMvZG93bnJldi54bWxQSwECFAAUAAAACACHTuJAKYVM8MkBAAB6AwAADgAAAAAA&#10;AAABACAAAAA0AQAAZHJzL2Uyb0RvYy54bWxQSwUGAAAAAAYABgBZAQAAbwUAAAAA&#10;">
          <v:path/>
          <v:fill on="f" focussize="0,0"/>
          <v:stroke on="f"/>
          <v:imagedata o:title=""/>
          <o:lock v:ext="edit" aspectratio="f"/>
          <v:textbox inset="0mm,0mm,0mm,0mm" style="mso-fit-shape-to-text:t;">
            <w:txbxContent>
              <w:p>
                <w:pPr>
                  <w:pStyle w:val="4"/>
                  <w:spacing w:beforeLines="0" w:afterLines="0"/>
                  <w:rPr>
                    <w:rFonts w:hint="default"/>
                    <w:sz w:val="28"/>
                    <w:szCs w:val="24"/>
                  </w:rPr>
                </w:pPr>
                <w:r>
                  <w:rPr>
                    <w:rFonts w:hint="eastAsia" w:ascii="宋体" w:hAnsi="宋体" w:cs="宋体"/>
                    <w:sz w:val="28"/>
                    <w:szCs w:val="18"/>
                  </w:rPr>
                  <w:fldChar w:fldCharType="begin"/>
                </w:r>
                <w:r>
                  <w:rPr>
                    <w:rFonts w:hint="eastAsia" w:ascii="宋体" w:hAnsi="宋体" w:cs="宋体"/>
                    <w:sz w:val="28"/>
                    <w:szCs w:val="18"/>
                  </w:rPr>
                  <w:instrText xml:space="preserve"> PAGE  \* MERGEFORMAT </w:instrText>
                </w:r>
                <w:r>
                  <w:rPr>
                    <w:rFonts w:hint="eastAsia" w:ascii="宋体" w:hAnsi="宋体" w:cs="宋体"/>
                    <w:sz w:val="28"/>
                    <w:szCs w:val="18"/>
                  </w:rPr>
                  <w:fldChar w:fldCharType="separate"/>
                </w:r>
                <w:r>
                  <w:rPr>
                    <w:rFonts w:hint="eastAsia" w:ascii="宋体" w:hAnsi="宋体" w:cs="宋体"/>
                    <w:sz w:val="28"/>
                    <w:szCs w:val="18"/>
                  </w:rPr>
                  <w:t>- 1 -</w:t>
                </w:r>
                <w:r>
                  <w:rPr>
                    <w:rFonts w:hint="eastAsia" w:ascii="宋体" w:hAnsi="宋体" w:cs="宋体"/>
                    <w:sz w:val="28"/>
                    <w:szCs w:val="18"/>
                  </w:rPr>
                  <w:fldChar w:fldCharType="end"/>
                </w:r>
              </w:p>
            </w:txbxContent>
          </v:textbox>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uto" w:vAnchor="margin" w:hAnchor="text" w:xAlign="left" w:yAlign="inline"/>
      <w:ind w:right="360" w:firstLine="360"/>
      <w:rPr>
        <w:rFonts w:hint="default"/>
      </w:rPr>
    </w:pPr>
    <w:r>
      <w:rPr>
        <w:rFonts w:hint="default"/>
      </w:rPr>
      <w:pict>
        <v:shape id="_x0000_s1027" o:spid="_x0000_s1027"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JXZQR/dAQAAvgMAAA4AAAAAAAAA&#10;AQAgAAAAHgEAAGRycy9lMm9Eb2MueG1sUEsFBgAAAAAGAAYAWQEAAG0FAAAAAA==&#10;">
          <v:path/>
          <v:fill on="f" focussize="0,0"/>
          <v:stroke on="f" joinstyle="miter"/>
          <v:imagedata o:title=""/>
          <o:lock v:ext="edit"/>
          <v:textbox inset="0mm,0mm,0mm,0mm" style="mso-fit-shape-to-text:t;">
            <w:txbxContent>
              <w:p>
                <w:pPr>
                  <w:pStyle w:val="4"/>
                  <w:rPr>
                    <w:rFonts w:hint="default"/>
                  </w:rPr>
                </w:pPr>
                <w:r>
                  <w:rPr>
                    <w:rFonts w:ascii="宋体" w:hAnsi="宋体" w:cs="宋体"/>
                    <w:szCs w:val="18"/>
                  </w:rPr>
                  <w:fldChar w:fldCharType="begin"/>
                </w:r>
                <w:r>
                  <w:rPr>
                    <w:rFonts w:ascii="宋体" w:hAnsi="宋体" w:cs="宋体"/>
                    <w:szCs w:val="18"/>
                  </w:rPr>
                  <w:instrText xml:space="preserve"> PAGE  \* MERGEFORMAT </w:instrText>
                </w:r>
                <w:r>
                  <w:rPr>
                    <w:rFonts w:ascii="宋体" w:hAnsi="宋体" w:cs="宋体"/>
                    <w:szCs w:val="18"/>
                  </w:rPr>
                  <w:fldChar w:fldCharType="separate"/>
                </w:r>
                <w:r>
                  <w:rPr>
                    <w:rFonts w:hint="default" w:ascii="宋体" w:hAnsi="宋体" w:cs="宋体"/>
                    <w:szCs w:val="18"/>
                  </w:rPr>
                  <w:t>- 2 -</w:t>
                </w:r>
                <w:r>
                  <w:rPr>
                    <w:rFonts w:ascii="宋体" w:hAnsi="宋体" w:cs="宋体"/>
                    <w:szCs w:val="18"/>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uto" w:vAnchor="margin" w:hAnchor="text" w:xAlign="left" w:yAlign="inline"/>
      <w:spacing w:beforeLines="0" w:afterLines="0"/>
      <w:ind w:right="360" w:firstLine="360"/>
      <w:rPr>
        <w:rFonts w:hint="default"/>
        <w:sz w:val="28"/>
        <w:szCs w:val="24"/>
      </w:rPr>
    </w:pPr>
    <w:r>
      <w:rPr>
        <w:rFonts w:hint="default"/>
        <w:sz w:val="28"/>
        <w:szCs w:val="24"/>
      </w:rPr>
      <w:pict>
        <v:shape id="_x0000_s1031" o:spid="_x0000_s1031"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WAAAAZHJzL1BLAQIUABQAAAAIAIdO4kDOqXm5zwAAAAUBAAAPAAAAAAAAAAEA&#10;IAAAADgAAABkcnMvZG93bnJldi54bWxQSwECFAAUAAAACACHTuJAFXIai8kBAAB6AwAADgAAAAAA&#10;AAABACAAAAA0AQAAZHJzL2Uyb0RvYy54bWxQSwUGAAAAAAYABgBZAQAAbwUAAAAA&#10;">
          <v:path/>
          <v:fill on="f" focussize="0,0"/>
          <v:stroke on="f"/>
          <v:imagedata o:title=""/>
          <o:lock v:ext="edit" aspectratio="f"/>
          <v:textbox inset="0mm,0mm,0mm,0mm" style="mso-fit-shape-to-text:t;">
            <w:txbxContent>
              <w:p>
                <w:pPr>
                  <w:pStyle w:val="4"/>
                  <w:spacing w:beforeLines="0" w:afterLines="0"/>
                  <w:rPr>
                    <w:rFonts w:hint="default"/>
                    <w:sz w:val="28"/>
                    <w:szCs w:val="24"/>
                  </w:rPr>
                </w:pPr>
                <w:r>
                  <w:rPr>
                    <w:rFonts w:hint="eastAsia" w:ascii="宋体" w:hAnsi="宋体" w:cs="宋体"/>
                    <w:sz w:val="28"/>
                    <w:szCs w:val="18"/>
                  </w:rPr>
                  <w:fldChar w:fldCharType="begin"/>
                </w:r>
                <w:r>
                  <w:rPr>
                    <w:rFonts w:hint="eastAsia" w:ascii="宋体" w:hAnsi="宋体" w:cs="宋体"/>
                    <w:sz w:val="28"/>
                    <w:szCs w:val="18"/>
                  </w:rPr>
                  <w:instrText xml:space="preserve"> PAGE  \* MERGEFORMAT </w:instrText>
                </w:r>
                <w:r>
                  <w:rPr>
                    <w:rFonts w:hint="eastAsia" w:ascii="宋体" w:hAnsi="宋体" w:cs="宋体"/>
                    <w:sz w:val="28"/>
                    <w:szCs w:val="18"/>
                  </w:rPr>
                  <w:fldChar w:fldCharType="separate"/>
                </w:r>
                <w:r>
                  <w:rPr>
                    <w:rFonts w:hint="eastAsia" w:ascii="宋体" w:hAnsi="宋体" w:cs="宋体"/>
                    <w:sz w:val="28"/>
                    <w:szCs w:val="18"/>
                  </w:rPr>
                  <w:t>- 2 -</w:t>
                </w:r>
                <w:r>
                  <w:rPr>
                    <w:rFonts w:hint="eastAsia" w:ascii="宋体" w:hAnsi="宋体" w:cs="宋体"/>
                    <w:sz w:val="28"/>
                    <w:szCs w:val="18"/>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uto" w:vAnchor="margin" w:hAnchor="text" w:xAlign="left" w:yAlign="inline"/>
      <w:spacing w:beforeLines="0" w:afterLines="0"/>
      <w:ind w:right="360" w:firstLine="360"/>
      <w:rPr>
        <w:rFonts w:hint="default"/>
        <w:sz w:val="28"/>
        <w:szCs w:val="24"/>
      </w:rPr>
    </w:pPr>
    <w:r>
      <w:rPr>
        <w:rFonts w:hint="default"/>
        <w:sz w:val="28"/>
        <w:szCs w:val="24"/>
      </w:rPr>
      <w:pict>
        <v:shape id="_x0000_s1035" o:spid="_x0000_s1035"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WAAAAZHJzL1BLAQIUABQAAAAIAIdO4kDOqXm5zwAAAAUBAAAPAAAAAAAAAAEA&#10;IAAAADgAAABkcnMvZG93bnJldi54bWxQSwECFAAUAAAACACHTuJAKYVM8MkBAAB6AwAADgAAAAAA&#10;AAABACAAAAA0AQAAZHJzL2Uyb0RvYy54bWxQSwUGAAAAAAYABgBZAQAAbwUAAAAA&#10;">
          <v:path/>
          <v:fill on="f" focussize="0,0"/>
          <v:stroke on="f"/>
          <v:imagedata o:title=""/>
          <o:lock v:ext="edit" aspectratio="f"/>
          <v:textbox inset="0mm,0mm,0mm,0mm" style="mso-fit-shape-to-text:t;">
            <w:txbxContent>
              <w:p>
                <w:pPr>
                  <w:pStyle w:val="4"/>
                  <w:spacing w:beforeLines="0" w:afterLines="0"/>
                  <w:rPr>
                    <w:rFonts w:hint="default"/>
                    <w:sz w:val="28"/>
                    <w:szCs w:val="24"/>
                  </w:rPr>
                </w:pPr>
                <w:r>
                  <w:rPr>
                    <w:rFonts w:hint="eastAsia" w:ascii="宋体" w:hAnsi="宋体" w:cs="宋体"/>
                    <w:sz w:val="28"/>
                    <w:szCs w:val="18"/>
                  </w:rPr>
                  <w:fldChar w:fldCharType="begin"/>
                </w:r>
                <w:r>
                  <w:rPr>
                    <w:rFonts w:hint="eastAsia" w:ascii="宋体" w:hAnsi="宋体" w:cs="宋体"/>
                    <w:sz w:val="28"/>
                    <w:szCs w:val="18"/>
                  </w:rPr>
                  <w:instrText xml:space="preserve"> PAGE  \* MERGEFORMAT </w:instrText>
                </w:r>
                <w:r>
                  <w:rPr>
                    <w:rFonts w:hint="eastAsia" w:ascii="宋体" w:hAnsi="宋体" w:cs="宋体"/>
                    <w:sz w:val="28"/>
                    <w:szCs w:val="18"/>
                  </w:rPr>
                  <w:fldChar w:fldCharType="separate"/>
                </w:r>
                <w:r>
                  <w:rPr>
                    <w:rFonts w:hint="eastAsia" w:ascii="宋体" w:hAnsi="宋体" w:cs="宋体"/>
                    <w:sz w:val="28"/>
                    <w:szCs w:val="18"/>
                  </w:rPr>
                  <w:t>- 1 -</w:t>
                </w:r>
                <w:r>
                  <w:rPr>
                    <w:rFonts w:hint="eastAsia" w:ascii="宋体" w:hAnsi="宋体" w:cs="宋体"/>
                    <w:sz w:val="28"/>
                    <w:szCs w:val="18"/>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uto" w:vAnchor="margin" w:hAnchor="text" w:xAlign="left" w:yAlign="inline"/>
      <w:spacing w:beforeLines="0" w:afterLines="0"/>
      <w:ind w:right="360" w:firstLine="360"/>
      <w:rPr>
        <w:rFonts w:hint="default"/>
        <w:sz w:val="28"/>
        <w:szCs w:val="24"/>
      </w:rPr>
    </w:pPr>
    <w:r>
      <w:rPr>
        <w:rFonts w:hint="default"/>
        <w:sz w:val="28"/>
        <w:szCs w:val="24"/>
      </w:rPr>
      <w:pict>
        <v:shape id="_x0000_s1034" o:spid="_x0000_s1034"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WAAAAZHJzL1BLAQIUABQAAAAIAIdO4kDOqXm5zwAAAAUBAAAPAAAAAAAAAAEA&#10;IAAAADgAAABkcnMvZG93bnJldi54bWxQSwECFAAUAAAACACHTuJAFXIai8kBAAB6AwAADgAAAAAA&#10;AAABACAAAAA0AQAAZHJzL2Uyb0RvYy54bWxQSwUGAAAAAAYABgBZAQAAbwUAAAAA&#10;">
          <v:path/>
          <v:fill on="f" focussize="0,0"/>
          <v:stroke on="f"/>
          <v:imagedata o:title=""/>
          <o:lock v:ext="edit" aspectratio="f"/>
          <v:textbox inset="0mm,0mm,0mm,0mm" style="mso-fit-shape-to-text:t;">
            <w:txbxContent>
              <w:p>
                <w:pPr>
                  <w:pStyle w:val="4"/>
                  <w:spacing w:beforeLines="0" w:afterLines="0"/>
                  <w:rPr>
                    <w:rFonts w:hint="default"/>
                    <w:sz w:val="28"/>
                    <w:szCs w:val="24"/>
                  </w:rPr>
                </w:pPr>
                <w:r>
                  <w:rPr>
                    <w:rFonts w:hint="eastAsia" w:ascii="宋体" w:hAnsi="宋体" w:cs="宋体"/>
                    <w:sz w:val="28"/>
                    <w:szCs w:val="18"/>
                  </w:rPr>
                  <w:fldChar w:fldCharType="begin"/>
                </w:r>
                <w:r>
                  <w:rPr>
                    <w:rFonts w:hint="eastAsia" w:ascii="宋体" w:hAnsi="宋体" w:cs="宋体"/>
                    <w:sz w:val="28"/>
                    <w:szCs w:val="18"/>
                  </w:rPr>
                  <w:instrText xml:space="preserve"> PAGE  \* MERGEFORMAT </w:instrText>
                </w:r>
                <w:r>
                  <w:rPr>
                    <w:rFonts w:hint="eastAsia" w:ascii="宋体" w:hAnsi="宋体" w:cs="宋体"/>
                    <w:sz w:val="28"/>
                    <w:szCs w:val="18"/>
                  </w:rPr>
                  <w:fldChar w:fldCharType="separate"/>
                </w:r>
                <w:r>
                  <w:rPr>
                    <w:rFonts w:hint="eastAsia" w:ascii="宋体" w:hAnsi="宋体" w:cs="宋体"/>
                    <w:sz w:val="28"/>
                    <w:szCs w:val="18"/>
                  </w:rPr>
                  <w:t>- 2 -</w:t>
                </w:r>
                <w:r>
                  <w:rPr>
                    <w:rFonts w:hint="eastAsia" w:ascii="宋体" w:hAnsi="宋体" w:cs="宋体"/>
                    <w:sz w:val="28"/>
                    <w:szCs w:val="18"/>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uto" w:vAnchor="margin" w:hAnchor="text" w:xAlign="left" w:yAlign="inline"/>
      <w:spacing w:beforeLines="0" w:afterLines="0"/>
      <w:ind w:right="360" w:firstLine="360"/>
      <w:rPr>
        <w:rFonts w:hint="default"/>
        <w:sz w:val="28"/>
        <w:szCs w:val="24"/>
      </w:rPr>
    </w:pPr>
    <w:r>
      <w:rPr>
        <w:rFonts w:hint="default"/>
        <w:sz w:val="28"/>
        <w:szCs w:val="24"/>
      </w:rPr>
      <w:pict>
        <v:shape id="_x0000_s1032" o:spid="_x0000_s1032"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WAAAAZHJzL1BLAQIUABQAAAAIAIdO4kDOqXm5zwAAAAUBAAAPAAAAAAAAAAEA&#10;IAAAADgAAABkcnMvZG93bnJldi54bWxQSwECFAAUAAAACACHTuJAKYVM8MkBAAB6AwAADgAAAAAA&#10;AAABACAAAAA0AQAAZHJzL2Uyb0RvYy54bWxQSwUGAAAAAAYABgBZAQAAbwUAAAAA&#10;">
          <v:path/>
          <v:fill on="f" focussize="0,0"/>
          <v:stroke on="f"/>
          <v:imagedata o:title=""/>
          <o:lock v:ext="edit" aspectratio="f"/>
          <v:textbox inset="0mm,0mm,0mm,0mm" style="mso-fit-shape-to-text:t;">
            <w:txbxContent>
              <w:p>
                <w:pPr>
                  <w:pStyle w:val="4"/>
                  <w:spacing w:beforeLines="0" w:afterLines="0"/>
                  <w:rPr>
                    <w:rFonts w:hint="default"/>
                    <w:sz w:val="28"/>
                    <w:szCs w:val="24"/>
                  </w:rPr>
                </w:pPr>
                <w:r>
                  <w:rPr>
                    <w:rFonts w:hint="eastAsia" w:ascii="宋体" w:hAnsi="宋体" w:cs="宋体"/>
                    <w:sz w:val="28"/>
                    <w:szCs w:val="18"/>
                  </w:rPr>
                  <w:fldChar w:fldCharType="begin"/>
                </w:r>
                <w:r>
                  <w:rPr>
                    <w:rFonts w:hint="eastAsia" w:ascii="宋体" w:hAnsi="宋体" w:cs="宋体"/>
                    <w:sz w:val="28"/>
                    <w:szCs w:val="18"/>
                  </w:rPr>
                  <w:instrText xml:space="preserve"> PAGE  \* MERGEFORMAT </w:instrText>
                </w:r>
                <w:r>
                  <w:rPr>
                    <w:rFonts w:hint="eastAsia" w:ascii="宋体" w:hAnsi="宋体" w:cs="宋体"/>
                    <w:sz w:val="28"/>
                    <w:szCs w:val="18"/>
                  </w:rPr>
                  <w:fldChar w:fldCharType="separate"/>
                </w:r>
                <w:r>
                  <w:rPr>
                    <w:rFonts w:hint="eastAsia" w:ascii="宋体" w:hAnsi="宋体" w:cs="宋体"/>
                    <w:sz w:val="28"/>
                    <w:szCs w:val="18"/>
                  </w:rPr>
                  <w:t>- 1 -</w:t>
                </w:r>
                <w:r>
                  <w:rPr>
                    <w:rFonts w:hint="eastAsia" w:ascii="宋体" w:hAnsi="宋体" w:cs="宋体"/>
                    <w:sz w:val="28"/>
                    <w:szCs w:val="18"/>
                  </w:rP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uto" w:vAnchor="margin" w:hAnchor="text" w:xAlign="left" w:yAlign="inline"/>
      <w:spacing w:beforeLines="0" w:afterLines="0"/>
      <w:ind w:right="360" w:firstLine="360"/>
      <w:rPr>
        <w:rFonts w:hint="default"/>
        <w:sz w:val="28"/>
        <w:szCs w:val="24"/>
      </w:rPr>
    </w:pPr>
    <w:r>
      <w:rPr>
        <w:rFonts w:hint="default"/>
        <w:sz w:val="28"/>
        <w:szCs w:val="24"/>
      </w:rPr>
      <w:pict>
        <v:shape id="_x0000_s1033" o:spid="_x0000_s1033"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WAAAAZHJzL1BLAQIUABQAAAAIAIdO4kDOqXm5zwAAAAUBAAAPAAAAAAAAAAEA&#10;IAAAADgAAABkcnMvZG93bnJldi54bWxQSwECFAAUAAAACACHTuJAFXIai8kBAAB6AwAADgAAAAAA&#10;AAABACAAAAA0AQAAZHJzL2Uyb0RvYy54bWxQSwUGAAAAAAYABgBZAQAAbwUAAAAA&#10;">
          <v:path/>
          <v:fill on="f" focussize="0,0"/>
          <v:stroke on="f"/>
          <v:imagedata o:title=""/>
          <o:lock v:ext="edit" aspectratio="f"/>
          <v:textbox inset="0mm,0mm,0mm,0mm" style="mso-fit-shape-to-text:t;">
            <w:txbxContent>
              <w:p>
                <w:pPr>
                  <w:pStyle w:val="4"/>
                  <w:spacing w:beforeLines="0" w:afterLines="0"/>
                  <w:rPr>
                    <w:rFonts w:hint="default"/>
                    <w:sz w:val="28"/>
                    <w:szCs w:val="24"/>
                  </w:rPr>
                </w:pPr>
                <w:r>
                  <w:rPr>
                    <w:rFonts w:hint="eastAsia" w:ascii="宋体" w:hAnsi="宋体" w:cs="宋体"/>
                    <w:sz w:val="28"/>
                    <w:szCs w:val="18"/>
                  </w:rPr>
                  <w:fldChar w:fldCharType="begin"/>
                </w:r>
                <w:r>
                  <w:rPr>
                    <w:rFonts w:hint="eastAsia" w:ascii="宋体" w:hAnsi="宋体" w:cs="宋体"/>
                    <w:sz w:val="28"/>
                    <w:szCs w:val="18"/>
                  </w:rPr>
                  <w:instrText xml:space="preserve"> PAGE  \* MERGEFORMAT </w:instrText>
                </w:r>
                <w:r>
                  <w:rPr>
                    <w:rFonts w:hint="eastAsia" w:ascii="宋体" w:hAnsi="宋体" w:cs="宋体"/>
                    <w:sz w:val="28"/>
                    <w:szCs w:val="18"/>
                  </w:rPr>
                  <w:fldChar w:fldCharType="separate"/>
                </w:r>
                <w:r>
                  <w:rPr>
                    <w:rFonts w:hint="eastAsia" w:ascii="宋体" w:hAnsi="宋体" w:cs="宋体"/>
                    <w:sz w:val="28"/>
                    <w:szCs w:val="18"/>
                  </w:rPr>
                  <w:t>- 2 -</w:t>
                </w:r>
                <w:r>
                  <w:rPr>
                    <w:rFonts w:hint="eastAsia" w:ascii="宋体" w:hAnsi="宋体" w:cs="宋体"/>
                    <w:sz w:val="28"/>
                    <w:szCs w:val="18"/>
                  </w:rP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uto" w:vAnchor="margin" w:hAnchor="text" w:xAlign="left" w:yAlign="inline"/>
      <w:spacing w:beforeLines="0" w:afterLines="0"/>
      <w:ind w:right="360" w:firstLine="360"/>
      <w:rPr>
        <w:rFonts w:hint="default"/>
        <w:sz w:val="28"/>
        <w:szCs w:val="24"/>
      </w:rPr>
    </w:pPr>
    <w:r>
      <w:rPr>
        <w:rFonts w:hint="default"/>
        <w:sz w:val="28"/>
        <w:szCs w:val="24"/>
      </w:rPr>
      <w:pict>
        <v:shape id="_x0000_s1029" o:spid="_x0000_s1029"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WAAAAZHJzL1BLAQIUABQAAAAIAIdO4kDOqXm5zwAAAAUBAAAPAAAAAAAAAAEA&#10;IAAAADgAAABkcnMvZG93bnJldi54bWxQSwECFAAUAAAACACHTuJAKYVM8MkBAAB6AwAADgAAAAAA&#10;AAABACAAAAA0AQAAZHJzL2Uyb0RvYy54bWxQSwUGAAAAAAYABgBZAQAAbwUAAAAA&#10;">
          <v:path/>
          <v:fill on="f" focussize="0,0"/>
          <v:stroke on="f"/>
          <v:imagedata o:title=""/>
          <o:lock v:ext="edit" aspectratio="f"/>
          <v:textbox inset="0mm,0mm,0mm,0mm" style="mso-fit-shape-to-text:t;">
            <w:txbxContent>
              <w:p>
                <w:pPr>
                  <w:pStyle w:val="4"/>
                  <w:spacing w:beforeLines="0" w:afterLines="0"/>
                  <w:rPr>
                    <w:rFonts w:hint="default"/>
                    <w:sz w:val="28"/>
                    <w:szCs w:val="24"/>
                  </w:rPr>
                </w:pPr>
                <w:r>
                  <w:rPr>
                    <w:rFonts w:hint="eastAsia" w:ascii="宋体" w:hAnsi="宋体" w:cs="宋体"/>
                    <w:sz w:val="28"/>
                    <w:szCs w:val="18"/>
                  </w:rPr>
                  <w:fldChar w:fldCharType="begin"/>
                </w:r>
                <w:r>
                  <w:rPr>
                    <w:rFonts w:hint="eastAsia" w:ascii="宋体" w:hAnsi="宋体" w:cs="宋体"/>
                    <w:sz w:val="28"/>
                    <w:szCs w:val="18"/>
                  </w:rPr>
                  <w:instrText xml:space="preserve"> PAGE  \* MERGEFORMAT </w:instrText>
                </w:r>
                <w:r>
                  <w:rPr>
                    <w:rFonts w:hint="eastAsia" w:ascii="宋体" w:hAnsi="宋体" w:cs="宋体"/>
                    <w:sz w:val="28"/>
                    <w:szCs w:val="18"/>
                  </w:rPr>
                  <w:fldChar w:fldCharType="separate"/>
                </w:r>
                <w:r>
                  <w:rPr>
                    <w:rFonts w:hint="eastAsia" w:ascii="宋体" w:hAnsi="宋体" w:cs="宋体"/>
                    <w:sz w:val="28"/>
                    <w:szCs w:val="18"/>
                  </w:rPr>
                  <w:t>- 1 -</w:t>
                </w:r>
                <w:r>
                  <w:rPr>
                    <w:rFonts w:hint="eastAsia" w:ascii="宋体" w:hAnsi="宋体" w:cs="宋体"/>
                    <w:sz w:val="28"/>
                    <w:szCs w:val="18"/>
                  </w:rP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uto" w:vAnchor="margin" w:hAnchor="text" w:xAlign="left" w:yAlign="inline"/>
      <w:spacing w:beforeLines="0" w:afterLines="0"/>
      <w:ind w:right="360" w:firstLine="360"/>
      <w:rPr>
        <w:rFonts w:hint="default"/>
        <w:sz w:val="28"/>
        <w:szCs w:val="24"/>
      </w:rPr>
    </w:pPr>
    <w:r>
      <w:rPr>
        <w:rFonts w:hint="default"/>
        <w:sz w:val="28"/>
        <w:szCs w:val="24"/>
      </w:rPr>
      <w:pict>
        <v:shape id="_x0000_s1028" o:spid="_x0000_s1028"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WAAAAZHJzL1BLAQIUABQAAAAIAIdO4kDOqXm5zwAAAAUBAAAPAAAAAAAAAAEA&#10;IAAAADgAAABkcnMvZG93bnJldi54bWxQSwECFAAUAAAACACHTuJAFXIai8kBAAB6AwAADgAAAAAA&#10;AAABACAAAAA0AQAAZHJzL2Uyb0RvYy54bWxQSwUGAAAAAAYABgBZAQAAbwUAAAAA&#10;">
          <v:path/>
          <v:fill on="f" focussize="0,0"/>
          <v:stroke on="f"/>
          <v:imagedata o:title=""/>
          <o:lock v:ext="edit" aspectratio="f"/>
          <v:textbox inset="0mm,0mm,0mm,0mm" style="mso-fit-shape-to-text:t;">
            <w:txbxContent>
              <w:p>
                <w:pPr>
                  <w:pStyle w:val="4"/>
                  <w:spacing w:beforeLines="0" w:afterLines="0"/>
                  <w:rPr>
                    <w:rFonts w:hint="default"/>
                    <w:sz w:val="28"/>
                    <w:szCs w:val="24"/>
                  </w:rPr>
                </w:pPr>
                <w:r>
                  <w:rPr>
                    <w:rFonts w:hint="eastAsia" w:ascii="宋体" w:hAnsi="宋体" w:cs="宋体"/>
                    <w:sz w:val="28"/>
                    <w:szCs w:val="18"/>
                  </w:rPr>
                  <w:fldChar w:fldCharType="begin"/>
                </w:r>
                <w:r>
                  <w:rPr>
                    <w:rFonts w:hint="eastAsia" w:ascii="宋体" w:hAnsi="宋体" w:cs="宋体"/>
                    <w:sz w:val="28"/>
                    <w:szCs w:val="18"/>
                  </w:rPr>
                  <w:instrText xml:space="preserve"> PAGE  \* MERGEFORMAT </w:instrText>
                </w:r>
                <w:r>
                  <w:rPr>
                    <w:rFonts w:hint="eastAsia" w:ascii="宋体" w:hAnsi="宋体" w:cs="宋体"/>
                    <w:sz w:val="28"/>
                    <w:szCs w:val="18"/>
                  </w:rPr>
                  <w:fldChar w:fldCharType="separate"/>
                </w:r>
                <w:r>
                  <w:rPr>
                    <w:rFonts w:hint="eastAsia" w:ascii="宋体" w:hAnsi="宋体" w:cs="宋体"/>
                    <w:sz w:val="28"/>
                    <w:szCs w:val="18"/>
                  </w:rPr>
                  <w:t>- 2 -</w:t>
                </w:r>
                <w:r>
                  <w:rPr>
                    <w:rFonts w:hint="eastAsia" w:ascii="宋体" w:hAnsi="宋体" w:cs="宋体"/>
                    <w:sz w:val="28"/>
                    <w:szCs w:val="18"/>
                  </w:rPr>
                  <w:fldChar w:fldCharType="end"/>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uto" w:vAnchor="margin" w:hAnchor="text" w:xAlign="left" w:yAlign="inline"/>
      <w:ind w:right="360" w:firstLine="360"/>
      <w:rPr>
        <w:rFonts w:hint="default"/>
      </w:rPr>
    </w:pPr>
    <w:r>
      <w:rPr>
        <w:rFonts w:hint="default"/>
      </w:rPr>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Mk4DL/dAQAAvgMAAA4AAAAAAAAA&#10;AQAgAAAAHgEAAGRycy9lMm9Eb2MueG1sUEsFBgAAAAAGAAYAWQEAAG0FAAAAAA==&#10;">
          <v:path/>
          <v:fill on="f" focussize="0,0"/>
          <v:stroke on="f" joinstyle="miter"/>
          <v:imagedata o:title=""/>
          <o:lock v:ext="edit"/>
          <v:textbox inset="0mm,0mm,0mm,0mm" style="mso-fit-shape-to-text:t;">
            <w:txbxContent>
              <w:p>
                <w:pPr>
                  <w:pStyle w:val="4"/>
                  <w:rPr>
                    <w:rFonts w:hint="default"/>
                  </w:rPr>
                </w:pPr>
                <w:r>
                  <w:rPr>
                    <w:rFonts w:ascii="宋体" w:hAnsi="宋体" w:cs="宋体"/>
                    <w:szCs w:val="18"/>
                  </w:rPr>
                  <w:fldChar w:fldCharType="begin"/>
                </w:r>
                <w:r>
                  <w:rPr>
                    <w:rFonts w:ascii="宋体" w:hAnsi="宋体" w:cs="宋体"/>
                    <w:szCs w:val="18"/>
                  </w:rPr>
                  <w:instrText xml:space="preserve"> PAGE  \* MERGEFORMAT </w:instrText>
                </w:r>
                <w:r>
                  <w:rPr>
                    <w:rFonts w:ascii="宋体" w:hAnsi="宋体" w:cs="宋体"/>
                    <w:szCs w:val="18"/>
                  </w:rPr>
                  <w:fldChar w:fldCharType="separate"/>
                </w:r>
                <w:r>
                  <w:rPr>
                    <w:rFonts w:hint="default" w:ascii="宋体" w:hAnsi="宋体" w:cs="宋体"/>
                    <w:szCs w:val="18"/>
                  </w:rPr>
                  <w:t>- 1 -</w:t>
                </w:r>
                <w:r>
                  <w:rPr>
                    <w:rFonts w:ascii="宋体" w:hAnsi="宋体" w:cs="宋体"/>
                    <w:szCs w:val="18"/>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CD8F9C"/>
    <w:multiLevelType w:val="singleLevel"/>
    <w:tmpl w:val="03CD8F9C"/>
    <w:lvl w:ilvl="0" w:tentative="0">
      <w:start w:val="4"/>
      <w:numFmt w:val="chineseCounting"/>
      <w:suff w:val="nothing"/>
      <w:lvlText w:val="%1、"/>
      <w:lvlJc w:val="left"/>
      <w:rPr>
        <w:rFonts w:hint="eastAsia"/>
      </w:rPr>
    </w:lvl>
  </w:abstractNum>
  <w:abstractNum w:abstractNumId="1">
    <w:nsid w:val="43A8C518"/>
    <w:multiLevelType w:val="singleLevel"/>
    <w:tmpl w:val="43A8C518"/>
    <w:lvl w:ilvl="0" w:tentative="0">
      <w:start w:val="1"/>
      <w:numFmt w:val="chineseCounting"/>
      <w:suff w:val="nothing"/>
      <w:lvlText w:val="（%1）"/>
      <w:lvlJc w:val="left"/>
      <w:rPr>
        <w:rFonts w:hint="eastAsia"/>
      </w:rPr>
    </w:lvl>
  </w:abstractNum>
  <w:abstractNum w:abstractNumId="2">
    <w:nsid w:val="57EB91F6"/>
    <w:multiLevelType w:val="multilevel"/>
    <w:tmpl w:val="57EB91F6"/>
    <w:lvl w:ilvl="0" w:tentative="0">
      <w:start w:val="1"/>
      <w:numFmt w:val="chineseCounting"/>
      <w:suff w:val="nothing"/>
      <w:lvlText w:val="%1、"/>
      <w:lvlJc w:val="left"/>
      <w:pPr>
        <w:ind w:left="640" w:firstLine="0"/>
      </w:pPr>
      <w:rPr>
        <w:rFonts w:hint="default"/>
        <w:u w:val="none"/>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DQ0OTBhNWFmMmNkMTM0ZDNlOGZlODcxNzgxODhkZDYifQ=="/>
  </w:docVars>
  <w:rsids>
    <w:rsidRoot w:val="00172A27"/>
    <w:rsid w:val="00172A27"/>
    <w:rsid w:val="003D5BB9"/>
    <w:rsid w:val="00FD53EB"/>
    <w:rsid w:val="039D54FB"/>
    <w:rsid w:val="057324F8"/>
    <w:rsid w:val="0667442D"/>
    <w:rsid w:val="0CCE5073"/>
    <w:rsid w:val="101F3C57"/>
    <w:rsid w:val="105E064F"/>
    <w:rsid w:val="117A14B8"/>
    <w:rsid w:val="134C072D"/>
    <w:rsid w:val="154B3473"/>
    <w:rsid w:val="15B02F86"/>
    <w:rsid w:val="1BCE59A7"/>
    <w:rsid w:val="1D5E5630"/>
    <w:rsid w:val="1DEC54EC"/>
    <w:rsid w:val="1F9C1D8C"/>
    <w:rsid w:val="20BA3D5C"/>
    <w:rsid w:val="20FE29CD"/>
    <w:rsid w:val="213827F6"/>
    <w:rsid w:val="24756501"/>
    <w:rsid w:val="29FB2613"/>
    <w:rsid w:val="2AF82401"/>
    <w:rsid w:val="2D834DF9"/>
    <w:rsid w:val="31EF3498"/>
    <w:rsid w:val="333D5A4A"/>
    <w:rsid w:val="33457B5A"/>
    <w:rsid w:val="33EA0D37"/>
    <w:rsid w:val="38EA5012"/>
    <w:rsid w:val="39292F69"/>
    <w:rsid w:val="399300E3"/>
    <w:rsid w:val="3D357200"/>
    <w:rsid w:val="3DFB432B"/>
    <w:rsid w:val="404476F9"/>
    <w:rsid w:val="41A60F90"/>
    <w:rsid w:val="437042B4"/>
    <w:rsid w:val="43D25C86"/>
    <w:rsid w:val="46484C1E"/>
    <w:rsid w:val="47FF7E2A"/>
    <w:rsid w:val="48362048"/>
    <w:rsid w:val="4A7E5437"/>
    <w:rsid w:val="4B490F32"/>
    <w:rsid w:val="4B564457"/>
    <w:rsid w:val="4C575977"/>
    <w:rsid w:val="4DF30F3A"/>
    <w:rsid w:val="4E8B7C40"/>
    <w:rsid w:val="4F1637A4"/>
    <w:rsid w:val="500F1BD2"/>
    <w:rsid w:val="51C40746"/>
    <w:rsid w:val="543E6CC0"/>
    <w:rsid w:val="55412274"/>
    <w:rsid w:val="55C03679"/>
    <w:rsid w:val="57C446E9"/>
    <w:rsid w:val="58820FB8"/>
    <w:rsid w:val="59246BE1"/>
    <w:rsid w:val="593E7DD8"/>
    <w:rsid w:val="5ABA52A9"/>
    <w:rsid w:val="5C8E01AF"/>
    <w:rsid w:val="62205E77"/>
    <w:rsid w:val="62BE6D8B"/>
    <w:rsid w:val="64E742EF"/>
    <w:rsid w:val="684B0AD7"/>
    <w:rsid w:val="6E351362"/>
    <w:rsid w:val="75073918"/>
    <w:rsid w:val="771A18F7"/>
    <w:rsid w:val="7A37631C"/>
    <w:rsid w:val="7CF419AC"/>
    <w:rsid w:val="7D5947FB"/>
    <w:rsid w:val="7E8B7DB0"/>
    <w:rsid w:val="7E991F23"/>
    <w:rsid w:val="7EB5519D"/>
    <w:rsid w:val="7FF7A41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nhideWhenUsed/>
    <w:qFormat/>
    <w:uiPriority w:val="0"/>
    <w:pPr>
      <w:widowControl w:val="0"/>
      <w:jc w:val="both"/>
    </w:pPr>
    <w:rPr>
      <w:rFonts w:hint="eastAsia" w:ascii="Times New Roman" w:hAnsi="Times New Roman" w:eastAsia="Times New Roman" w:cstheme="minorBidi"/>
      <w:kern w:val="2"/>
      <w:sz w:val="21"/>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spacing w:before="100" w:beforeAutospacing="1"/>
      <w:ind w:left="0" w:firstLine="420" w:firstLineChars="200"/>
    </w:pPr>
  </w:style>
  <w:style w:type="paragraph" w:styleId="3">
    <w:name w:val="Body Text Indent"/>
    <w:basedOn w:val="1"/>
    <w:qFormat/>
    <w:uiPriority w:val="0"/>
    <w:pPr>
      <w:spacing w:after="120"/>
      <w:ind w:left="420" w:leftChars="200"/>
    </w:pPr>
  </w:style>
  <w:style w:type="paragraph" w:styleId="4">
    <w:name w:val="footer"/>
    <w:basedOn w:val="1"/>
    <w:unhideWhenUsed/>
    <w:qFormat/>
    <w:uiPriority w:val="0"/>
    <w:pPr>
      <w:framePr w:wrap="around" w:vAnchor="text" w:hAnchor="margin" w:xAlign="outside" w:y="1"/>
      <w:tabs>
        <w:tab w:val="center" w:pos="4153"/>
        <w:tab w:val="right" w:pos="8306"/>
      </w:tabs>
      <w:snapToGrid w:val="0"/>
      <w:jc w:val="left"/>
    </w:pPr>
    <w:rPr>
      <w:kern w:val="0"/>
      <w:sz w:val="28"/>
    </w:rPr>
  </w:style>
  <w:style w:type="paragraph" w:styleId="5">
    <w:name w:val="header"/>
    <w:basedOn w:val="1"/>
    <w:link w:val="11"/>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0"/>
    <w:pPr>
      <w:spacing w:beforeAutospacing="1" w:afterAutospacing="1"/>
      <w:jc w:val="left"/>
    </w:pPr>
    <w:rPr>
      <w:rFonts w:hint="default" w:ascii="Calibri" w:hAnsi="Calibri" w:eastAsia="宋体"/>
      <w:kern w:val="0"/>
      <w:sz w:val="24"/>
    </w:rPr>
  </w:style>
  <w:style w:type="paragraph" w:customStyle="1" w:styleId="9">
    <w:name w:val="列出段落1"/>
    <w:basedOn w:val="1"/>
    <w:unhideWhenUsed/>
    <w:qFormat/>
    <w:uiPriority w:val="34"/>
    <w:pPr>
      <w:ind w:firstLine="420" w:firstLineChars="200"/>
    </w:pPr>
    <w:rPr>
      <w:rFonts w:ascii="仿宋" w:hAnsi="仿宋" w:eastAsia="仿宋"/>
      <w:kern w:val="0"/>
      <w:sz w:val="28"/>
    </w:rPr>
  </w:style>
  <w:style w:type="paragraph" w:styleId="10">
    <w:name w:val="List Paragraph"/>
    <w:basedOn w:val="1"/>
    <w:unhideWhenUsed/>
    <w:qFormat/>
    <w:uiPriority w:val="99"/>
    <w:pPr>
      <w:ind w:firstLine="420" w:firstLineChars="200"/>
    </w:pPr>
    <w:rPr>
      <w:rFonts w:hint="default" w:ascii="Calibri" w:hAnsi="Calibri"/>
      <w:kern w:val="0"/>
      <w:sz w:val="28"/>
    </w:rPr>
  </w:style>
  <w:style w:type="character" w:customStyle="1" w:styleId="11">
    <w:name w:val="页眉 Char"/>
    <w:basedOn w:val="8"/>
    <w:link w:val="5"/>
    <w:uiPriority w:val="0"/>
    <w:rPr>
      <w:rFonts w:ascii="Times New Roman" w:hAnsi="Times New Roman" w:eastAsia="Times New Roman"/>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header" Target="header2.xml"/><Relationship Id="rId11" Type="http://schemas.openxmlformats.org/officeDocument/2006/relationships/header" Target="header1.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30"/>
    <customShpInfo spid="_x0000_s1031"/>
    <customShpInfo spid="_x0000_s1035"/>
    <customShpInfo spid="_x0000_s1034"/>
    <customShpInfo spid="_x0000_s1032"/>
    <customShpInfo spid="_x0000_s1033"/>
    <customShpInfo spid="_x0000_s1029"/>
    <customShpInfo spid="_x0000_s1028"/>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14</Pages>
  <Words>4128</Words>
  <Characters>1630</Characters>
  <Lines>13</Lines>
  <Paragraphs>11</Paragraphs>
  <TotalTime>0</TotalTime>
  <ScaleCrop>false</ScaleCrop>
  <LinksUpToDate>false</LinksUpToDate>
  <CharactersWithSpaces>5747</CharactersWithSpaces>
  <Application>WPS Office_11.8.2.10505_F1E327BC-269C-435d-A152-05C5408002CA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2023-04-22T15:33:00Z</dcterms:created>
  <dc:creator>海之韵</dc:creator>
  <cp:lastModifiedBy>kylin</cp:lastModifiedBy>
  <cp:lastPrinted>2025-06-20T08:51:00Z</cp:lastPrinted>
  <dcterms:modified xsi:type="dcterms:W3CDTF">2025-09-16T09:46:20Z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2052-11.8.2.10505</vt:lpwstr>
  </property>
  <property fmtid="{D5CDD505-2E9C-101B-9397-08002B2CF9AE}" pid="3" name="ICV">
    <vt:lpwstr>C05C0A58C1B94E6DA3F69BCC80938D65_11</vt:lpwstr>
  </property>
</Properties>
</file>