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rPr>
          <w:rFonts w:hint="default" w:ascii="方正小标宋简体" w:eastAsia="方正小标宋简体"/>
          <w:sz w:val="52"/>
        </w:rPr>
      </w:pPr>
    </w:p>
    <w:p>
      <w:pPr>
        <w:jc w:val="center"/>
        <w:rPr>
          <w:rFonts w:hint="default" w:ascii="方正小标宋简体" w:eastAsia="方正小标宋简体"/>
          <w:sz w:val="52"/>
        </w:rPr>
      </w:pPr>
      <w:r>
        <w:rPr>
          <w:rFonts w:ascii="方正小标宋简体" w:eastAsia="方正小标宋简体"/>
          <w:sz w:val="52"/>
        </w:rPr>
        <w:t>2023年度双牌县日月湖国家湿地公园</w:t>
      </w:r>
    </w:p>
    <w:p>
      <w:pPr>
        <w:jc w:val="center"/>
        <w:rPr>
          <w:rFonts w:hint="default" w:ascii="方正小标宋简体" w:eastAsia="方正小标宋简体"/>
          <w:sz w:val="52"/>
        </w:rPr>
      </w:pPr>
      <w:r>
        <w:rPr>
          <w:rFonts w:ascii="方正小标宋简体" w:eastAsia="方正小标宋简体"/>
          <w:sz w:val="52"/>
        </w:rPr>
        <w:t>管理中心部门整体支出绩效自评报告</w:t>
      </w:r>
    </w:p>
    <w:p>
      <w:pPr>
        <w:jc w:val="center"/>
        <w:rPr>
          <w:rFonts w:hint="default" w:eastAsia="黑体"/>
          <w:sz w:val="32"/>
        </w:rPr>
      </w:pPr>
    </w:p>
    <w:p>
      <w:pPr>
        <w:jc w:val="center"/>
        <w:rPr>
          <w:rFonts w:hint="default" w:eastAsia="黑体"/>
          <w:sz w:val="32"/>
        </w:rPr>
      </w:pPr>
    </w:p>
    <w:p>
      <w:pPr>
        <w:pStyle w:val="2"/>
        <w:ind w:firstLine="320"/>
        <w:rPr>
          <w:rFonts w:hint="default" w:eastAsia="黑体"/>
          <w:sz w:val="32"/>
          <w:szCs w:val="24"/>
        </w:rPr>
      </w:pPr>
    </w:p>
    <w:p>
      <w:pPr>
        <w:pStyle w:val="2"/>
        <w:ind w:firstLine="320"/>
        <w:rPr>
          <w:rFonts w:hint="default" w:eastAsia="黑体"/>
          <w:sz w:val="32"/>
          <w:szCs w:val="24"/>
        </w:rPr>
      </w:pPr>
    </w:p>
    <w:p>
      <w:pPr>
        <w:pStyle w:val="2"/>
        <w:ind w:firstLine="320"/>
        <w:rPr>
          <w:rFonts w:hint="default" w:eastAsia="黑体"/>
          <w:sz w:val="32"/>
          <w:szCs w:val="24"/>
        </w:rPr>
      </w:pPr>
    </w:p>
    <w:p>
      <w:pPr>
        <w:pStyle w:val="2"/>
        <w:ind w:firstLine="320"/>
        <w:rPr>
          <w:rFonts w:hint="default" w:eastAsia="黑体"/>
          <w:sz w:val="32"/>
          <w:szCs w:val="24"/>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jc w:val="left"/>
        <w:rPr>
          <w:rFonts w:hint="default" w:eastAsia="仿宋_GB2312"/>
          <w:sz w:val="32"/>
          <w:u w:val="single"/>
        </w:rPr>
      </w:pPr>
      <w:r>
        <w:rPr>
          <w:rFonts w:eastAsia="仿宋_GB2312"/>
          <w:sz w:val="32"/>
        </w:rPr>
        <w:t>单位名称（盖章）：</w:t>
      </w:r>
      <w:r>
        <w:rPr>
          <w:rFonts w:eastAsia="仿宋_GB2312"/>
          <w:sz w:val="32"/>
          <w:u w:val="single"/>
        </w:rPr>
        <w:t xml:space="preserve">  双牌县日月湖国家湿地公园管理中心  </w:t>
      </w:r>
    </w:p>
    <w:p>
      <w:pPr>
        <w:spacing w:line="600" w:lineRule="exact"/>
        <w:ind w:firstLine="3200" w:firstLineChars="1000"/>
        <w:rPr>
          <w:rFonts w:hint="default" w:eastAsia="楷体_GB2312"/>
          <w:sz w:val="32"/>
        </w:rPr>
      </w:pPr>
    </w:p>
    <w:p>
      <w:pPr>
        <w:spacing w:line="600" w:lineRule="exact"/>
        <w:jc w:val="center"/>
        <w:rPr>
          <w:rFonts w:hint="default" w:eastAsia="楷体_GB2312"/>
          <w:sz w:val="32"/>
        </w:rPr>
      </w:pPr>
      <w:r>
        <w:rPr>
          <w:rFonts w:eastAsia="楷体_GB2312"/>
          <w:sz w:val="32"/>
        </w:rPr>
        <w:t>2024年4 月12 日</w:t>
      </w:r>
    </w:p>
    <w:p>
      <w:pPr>
        <w:jc w:val="center"/>
        <w:rPr>
          <w:rFonts w:hint="default" w:eastAsia="黑体"/>
          <w:sz w:val="32"/>
        </w:rPr>
      </w:pPr>
    </w:p>
    <w:p>
      <w:pPr>
        <w:numPr>
          <w:ilvl w:val="0"/>
          <w:numId w:val="1"/>
        </w:numPr>
        <w:spacing w:line="560" w:lineRule="exact"/>
        <w:outlineLvl w:val="0"/>
        <w:rPr>
          <w:rFonts w:hint="default" w:eastAsia="黑体"/>
          <w:sz w:val="32"/>
        </w:rPr>
      </w:pPr>
      <w:r>
        <w:rPr>
          <w:rFonts w:hint="default" w:eastAsia="仿宋_GB2312"/>
          <w:sz w:val="32"/>
        </w:rPr>
        <w:br w:type="page"/>
      </w:r>
      <w:r>
        <w:rPr>
          <w:rFonts w:eastAsia="黑体"/>
          <w:sz w:val="32"/>
        </w:rPr>
        <w:t>单位基本情况</w:t>
      </w:r>
    </w:p>
    <w:p>
      <w:pPr>
        <w:pStyle w:val="6"/>
        <w:numPr>
          <w:ilvl w:val="0"/>
          <w:numId w:val="2"/>
        </w:numPr>
        <w:shd w:val="clear" w:color="auto" w:fill="FFFFFF"/>
        <w:spacing w:beforeAutospacing="0" w:afterAutospacing="0" w:line="560" w:lineRule="exact"/>
        <w:ind w:firstLine="643"/>
        <w:rPr>
          <w:rFonts w:ascii="仿宋_GB2312" w:eastAsia="仿宋_GB2312"/>
          <w:sz w:val="32"/>
        </w:rPr>
      </w:pPr>
      <w:r>
        <w:rPr>
          <w:rFonts w:hint="eastAsia" w:ascii="仿宋_GB2312" w:eastAsia="仿宋_GB2312"/>
          <w:sz w:val="32"/>
        </w:rPr>
        <w:t>单位职能职责、机构编制、人员构成等情况</w:t>
      </w:r>
    </w:p>
    <w:p>
      <w:pPr>
        <w:pStyle w:val="6"/>
        <w:shd w:val="clear" w:color="auto" w:fill="FFFFFF"/>
        <w:spacing w:beforeAutospacing="0" w:afterAutospacing="0" w:line="560" w:lineRule="exact"/>
        <w:ind w:firstLine="960" w:firstLineChars="300"/>
        <w:rPr>
          <w:rFonts w:ascii="Times New Roman" w:hAnsi="Times New Roman" w:eastAsia="仿宋_GB2312"/>
          <w:sz w:val="32"/>
        </w:rPr>
      </w:pPr>
      <w:r>
        <w:rPr>
          <w:rFonts w:hint="eastAsia" w:ascii="仿宋_GB2312" w:eastAsia="仿宋_GB2312"/>
          <w:sz w:val="32"/>
        </w:rPr>
        <w:t>1、</w:t>
      </w:r>
      <w:r>
        <w:rPr>
          <w:rFonts w:hint="eastAsia" w:ascii="Times New Roman" w:hAnsi="Times New Roman" w:eastAsia="仿宋_GB2312"/>
          <w:sz w:val="32"/>
        </w:rPr>
        <w:t>主要职能</w:t>
      </w:r>
    </w:p>
    <w:p>
      <w:pPr>
        <w:spacing w:line="560" w:lineRule="exact"/>
        <w:ind w:firstLine="800" w:firstLineChars="250"/>
        <w:rPr>
          <w:rFonts w:hint="default" w:eastAsia="仿宋_GB2312"/>
          <w:kern w:val="0"/>
          <w:sz w:val="32"/>
        </w:rPr>
      </w:pPr>
      <w:r>
        <w:rPr>
          <w:rFonts w:eastAsia="仿宋_GB2312"/>
          <w:kern w:val="0"/>
          <w:sz w:val="32"/>
        </w:rPr>
        <w:t>（1）宣传和贯彻有关湿地资源保护和管理的法律、法规，开展湿地保护宣传教育；</w:t>
      </w:r>
    </w:p>
    <w:p>
      <w:pPr>
        <w:spacing w:line="560" w:lineRule="exact"/>
        <w:ind w:firstLine="800" w:firstLineChars="250"/>
        <w:rPr>
          <w:rFonts w:hint="default" w:eastAsia="仿宋_GB2312"/>
          <w:kern w:val="0"/>
          <w:sz w:val="32"/>
        </w:rPr>
      </w:pPr>
      <w:r>
        <w:rPr>
          <w:rFonts w:eastAsia="仿宋_GB2312"/>
          <w:kern w:val="0"/>
          <w:sz w:val="32"/>
        </w:rPr>
        <w:t>（2）组织编制、实施湿地公园总体规划和相关规划，保护和合理利用资源，实施湿地功能建设；</w:t>
      </w:r>
    </w:p>
    <w:p>
      <w:pPr>
        <w:spacing w:line="560" w:lineRule="exact"/>
        <w:ind w:firstLine="800" w:firstLineChars="250"/>
        <w:rPr>
          <w:rFonts w:hint="default" w:eastAsia="仿宋_GB2312"/>
          <w:kern w:val="0"/>
          <w:sz w:val="32"/>
        </w:rPr>
      </w:pPr>
      <w:r>
        <w:rPr>
          <w:rFonts w:eastAsia="仿宋_GB2312"/>
          <w:kern w:val="0"/>
          <w:sz w:val="32"/>
        </w:rPr>
        <w:t>（3）负责湿地资源保护工作，制定和实施湿地公园具体保护和管理办法，依法协调、查处违反湿地保护法规的案件；</w:t>
      </w:r>
    </w:p>
    <w:p>
      <w:pPr>
        <w:spacing w:line="560" w:lineRule="exact"/>
        <w:ind w:firstLine="800" w:firstLineChars="250"/>
        <w:rPr>
          <w:rFonts w:hint="default" w:eastAsia="仿宋_GB2312"/>
          <w:kern w:val="0"/>
          <w:sz w:val="32"/>
        </w:rPr>
      </w:pPr>
      <w:r>
        <w:rPr>
          <w:rFonts w:eastAsia="仿宋_GB2312"/>
          <w:kern w:val="0"/>
          <w:sz w:val="32"/>
        </w:rPr>
        <w:t>（4）负责湿地资源调查、监测、评估和建档工作；</w:t>
      </w:r>
    </w:p>
    <w:p>
      <w:pPr>
        <w:spacing w:line="560" w:lineRule="exact"/>
        <w:ind w:firstLine="800" w:firstLineChars="250"/>
        <w:rPr>
          <w:rFonts w:hint="default" w:eastAsia="仿宋_GB2312"/>
          <w:kern w:val="0"/>
          <w:sz w:val="32"/>
        </w:rPr>
      </w:pPr>
      <w:r>
        <w:rPr>
          <w:rFonts w:eastAsia="仿宋_GB2312"/>
          <w:kern w:val="0"/>
          <w:sz w:val="32"/>
        </w:rPr>
        <w:t>（5）负责湿地公园内有关事务的协调工作；</w:t>
      </w:r>
    </w:p>
    <w:p>
      <w:pPr>
        <w:spacing w:line="560" w:lineRule="exact"/>
        <w:ind w:firstLine="800" w:firstLineChars="250"/>
        <w:rPr>
          <w:rFonts w:hint="default" w:eastAsia="仿宋_GB2312"/>
          <w:kern w:val="0"/>
          <w:sz w:val="32"/>
        </w:rPr>
      </w:pPr>
      <w:r>
        <w:rPr>
          <w:rFonts w:eastAsia="仿宋_GB2312"/>
          <w:kern w:val="0"/>
          <w:sz w:val="32"/>
        </w:rPr>
        <w:t>（6）完成县委、县人民政府交办的其他事项。</w:t>
      </w:r>
    </w:p>
    <w:p>
      <w:pPr>
        <w:shd w:val="clear" w:color="auto" w:fill="FFFFFF"/>
        <w:spacing w:line="560" w:lineRule="exact"/>
        <w:ind w:firstLine="640" w:firstLineChars="200"/>
        <w:outlineLvl w:val="1"/>
        <w:rPr>
          <w:rFonts w:hint="default" w:ascii="仿宋_GB2312" w:eastAsia="仿宋_GB2312"/>
          <w:sz w:val="32"/>
        </w:rPr>
      </w:pPr>
      <w:r>
        <w:rPr>
          <w:rFonts w:ascii="仿宋_GB2312" w:eastAsia="仿宋_GB2312"/>
          <w:sz w:val="32"/>
        </w:rPr>
        <w:t>2、机构编制</w:t>
      </w:r>
    </w:p>
    <w:p>
      <w:pPr>
        <w:pStyle w:val="6"/>
        <w:shd w:val="clear" w:color="auto" w:fill="FFFFFF"/>
        <w:spacing w:beforeAutospacing="0" w:afterAutospacing="0" w:line="560" w:lineRule="exact"/>
        <w:ind w:firstLine="643"/>
        <w:rPr>
          <w:rFonts w:ascii="仿宋_GB2312" w:hAnsi="仿宋" w:eastAsia="仿宋_GB2312" w:cs="仿宋"/>
          <w:kern w:val="2"/>
          <w:sz w:val="32"/>
          <w:szCs w:val="32"/>
        </w:rPr>
      </w:pPr>
      <w:r>
        <w:rPr>
          <w:rFonts w:hint="eastAsia" w:ascii="仿宋_GB2312" w:hAnsi="仿宋" w:eastAsia="仿宋_GB2312" w:cs="仿宋"/>
          <w:kern w:val="2"/>
          <w:sz w:val="32"/>
          <w:szCs w:val="32"/>
        </w:rPr>
        <w:t>本单位为全额拨款正科级事业单位，有内设机构7个，分别为：办公室、科普宣教股、保护管理股、科研监测股、计划财务股、项目建设股、旅游发展股。</w:t>
      </w:r>
    </w:p>
    <w:p>
      <w:pPr>
        <w:pStyle w:val="6"/>
        <w:shd w:val="clear" w:color="auto" w:fill="FFFFFF"/>
        <w:spacing w:beforeAutospacing="0" w:afterAutospacing="0" w:line="560" w:lineRule="exact"/>
        <w:ind w:firstLine="643"/>
        <w:rPr>
          <w:rFonts w:ascii="仿宋_GB2312" w:hAnsi="仿宋" w:eastAsia="仿宋_GB2312" w:cs="仿宋"/>
          <w:kern w:val="2"/>
          <w:sz w:val="32"/>
          <w:szCs w:val="32"/>
        </w:rPr>
      </w:pPr>
      <w:r>
        <w:rPr>
          <w:rFonts w:hint="eastAsia" w:ascii="仿宋_GB2312" w:hAnsi="仿宋" w:eastAsia="仿宋_GB2312" w:cs="仿宋"/>
          <w:kern w:val="2"/>
          <w:sz w:val="32"/>
          <w:szCs w:val="32"/>
        </w:rPr>
        <w:t>3、人员情况</w:t>
      </w:r>
    </w:p>
    <w:p>
      <w:pPr>
        <w:pStyle w:val="6"/>
        <w:shd w:val="clear" w:color="auto" w:fill="FFFFFF"/>
        <w:spacing w:beforeAutospacing="0" w:afterAutospacing="0" w:line="560" w:lineRule="exact"/>
        <w:ind w:firstLine="643"/>
        <w:rPr>
          <w:rFonts w:ascii="仿宋_GB2312" w:hAnsi="仿宋" w:eastAsia="仿宋_GB2312" w:cs="仿宋"/>
          <w:kern w:val="2"/>
          <w:sz w:val="32"/>
          <w:szCs w:val="32"/>
        </w:rPr>
      </w:pPr>
      <w:r>
        <w:rPr>
          <w:rFonts w:hint="eastAsia" w:ascii="仿宋_GB2312" w:hAnsi="仿宋" w:eastAsia="仿宋_GB2312" w:cs="仿宋"/>
          <w:kern w:val="2"/>
          <w:sz w:val="32"/>
          <w:szCs w:val="32"/>
        </w:rPr>
        <w:t>本单位核定全额拨款事业编制21名，现有在职在编职工11人，均为事业编制人员。</w:t>
      </w:r>
    </w:p>
    <w:p>
      <w:pPr>
        <w:pStyle w:val="11"/>
        <w:spacing w:line="570" w:lineRule="exact"/>
        <w:ind w:firstLine="320" w:firstLineChars="100"/>
        <w:outlineLvl w:val="0"/>
        <w:rPr>
          <w:rFonts w:ascii="Times New Roman" w:hAnsi="Times New Roman" w:eastAsia="黑体"/>
          <w:sz w:val="32"/>
        </w:rPr>
      </w:pPr>
      <w:r>
        <w:rPr>
          <w:rFonts w:hint="eastAsia" w:ascii="Times New Roman" w:hAnsi="Times New Roman" w:eastAsia="黑体"/>
          <w:sz w:val="32"/>
        </w:rPr>
        <w:t>二、一般公共预算支出情况</w:t>
      </w:r>
    </w:p>
    <w:p>
      <w:pPr>
        <w:ind w:firstLine="800" w:firstLineChars="250"/>
        <w:rPr>
          <w:rFonts w:hint="default" w:ascii="仿宋_GB2312" w:hAnsi="仿宋" w:eastAsia="仿宋_GB2312" w:cs="仿宋"/>
          <w:color w:val="000000" w:themeColor="text1"/>
          <w:sz w:val="32"/>
          <w:szCs w:val="32"/>
        </w:rPr>
      </w:pPr>
      <w:r>
        <w:rPr>
          <w:rFonts w:ascii="仿宋_GB2312" w:hAnsi="仿宋" w:eastAsia="仿宋_GB2312" w:cs="仿宋"/>
          <w:color w:val="000000" w:themeColor="text1"/>
          <w:sz w:val="32"/>
          <w:szCs w:val="32"/>
        </w:rPr>
        <w:t>2023年一般公共预算财政拨款决算支出190.19万元，其中基本支出152.85万元（人员经费支出134.64万元、公用经费支出18.21万元），项目支出37.34万元。</w:t>
      </w:r>
    </w:p>
    <w:p>
      <w:pPr>
        <w:pStyle w:val="10"/>
        <w:spacing w:line="600" w:lineRule="exact"/>
        <w:ind w:firstLine="640"/>
        <w:rPr>
          <w:rFonts w:hint="default" w:ascii="仿宋_GB2312" w:eastAsia="仿宋_GB2312" w:cs="仿宋"/>
          <w:color w:val="000000" w:themeColor="text1"/>
          <w:sz w:val="32"/>
          <w:szCs w:val="32"/>
        </w:rPr>
      </w:pPr>
      <w:r>
        <w:rPr>
          <w:rFonts w:ascii="仿宋_GB2312" w:eastAsia="仿宋_GB2312" w:cs="仿宋"/>
          <w:color w:val="000000" w:themeColor="text1"/>
          <w:sz w:val="32"/>
          <w:szCs w:val="32"/>
        </w:rPr>
        <w:t>（一）基本支出情况</w:t>
      </w:r>
    </w:p>
    <w:p>
      <w:pPr>
        <w:pStyle w:val="10"/>
        <w:spacing w:line="600" w:lineRule="exact"/>
        <w:ind w:firstLine="640"/>
        <w:rPr>
          <w:rFonts w:hint="default" w:ascii="仿宋_GB2312" w:eastAsia="仿宋_GB2312" w:cs="仿宋"/>
          <w:color w:val="000000" w:themeColor="text1"/>
          <w:sz w:val="32"/>
          <w:szCs w:val="32"/>
        </w:rPr>
      </w:pPr>
      <w:r>
        <w:rPr>
          <w:rFonts w:ascii="仿宋_GB2312" w:eastAsia="仿宋_GB2312" w:cs="仿宋"/>
          <w:color w:val="000000" w:themeColor="text1"/>
          <w:sz w:val="32"/>
          <w:szCs w:val="32"/>
        </w:rPr>
        <w:t>基本支出152.85万元，占总支出的比重为80.37%。一般公共预算财政拨款基本支出中人员经费134.64万元，主要包括：基本工资、津贴补贴、奖金、社会保障缴费、其他工资福利支出、离休费、退休费、抚恤金、奖励金、住房公积金、其他对个人和家庭的补助支出；一般公共预算财政拨款基本支出中公用经费18.21万元，主要包括：办公费、印刷费、邮电费、差旅费、维修（护）费、会议费、培训费、公务接待费、劳务费、工会经费、福利费、公务用车运行维护费、其他交通费用、其他商品和服务支出。</w:t>
      </w:r>
    </w:p>
    <w:p>
      <w:pPr>
        <w:pStyle w:val="10"/>
        <w:spacing w:line="600" w:lineRule="exact"/>
        <w:ind w:firstLine="640"/>
        <w:rPr>
          <w:rFonts w:hint="default" w:ascii="仿宋_GB2312" w:eastAsia="仿宋_GB2312" w:cs="仿宋"/>
          <w:color w:val="000000" w:themeColor="text1"/>
          <w:sz w:val="32"/>
          <w:szCs w:val="32"/>
        </w:rPr>
      </w:pPr>
      <w:r>
        <w:rPr>
          <w:rFonts w:ascii="仿宋_GB2312" w:eastAsia="仿宋_GB2312" w:cs="仿宋"/>
          <w:color w:val="000000" w:themeColor="text1"/>
          <w:sz w:val="32"/>
          <w:szCs w:val="32"/>
        </w:rPr>
        <w:t>2023年部门“三公”经费决算1.5万元，其中：公务接待费0万元，因公出国（境）费0万元，公务用车购置及运行费1.5万元(其中，公务用车购置费0万元，公务用车运行费1.5万元)。</w:t>
      </w:r>
    </w:p>
    <w:p>
      <w:pPr>
        <w:pStyle w:val="10"/>
        <w:spacing w:line="600" w:lineRule="exact"/>
        <w:ind w:firstLine="640"/>
        <w:rPr>
          <w:rFonts w:hint="default" w:ascii="仿宋_GB2312" w:eastAsia="仿宋_GB2312" w:cs="仿宋"/>
          <w:color w:val="000000" w:themeColor="text1"/>
          <w:sz w:val="32"/>
          <w:szCs w:val="32"/>
        </w:rPr>
      </w:pPr>
      <w:r>
        <w:rPr>
          <w:rFonts w:ascii="仿宋_GB2312" w:eastAsia="仿宋_GB2312" w:cs="仿宋"/>
          <w:color w:val="000000" w:themeColor="text1"/>
          <w:sz w:val="32"/>
          <w:szCs w:val="32"/>
        </w:rPr>
        <w:t>（二）项目支出情况</w:t>
      </w:r>
    </w:p>
    <w:p>
      <w:pPr>
        <w:pStyle w:val="10"/>
        <w:spacing w:line="600" w:lineRule="exact"/>
        <w:ind w:firstLine="640"/>
        <w:rPr>
          <w:rFonts w:hint="default" w:ascii="仿宋_GB2312" w:eastAsia="仿宋_GB2312" w:cs="仿宋"/>
          <w:color w:val="000000" w:themeColor="text1"/>
          <w:sz w:val="32"/>
          <w:szCs w:val="32"/>
        </w:rPr>
      </w:pPr>
      <w:r>
        <w:rPr>
          <w:rFonts w:ascii="仿宋_GB2312" w:eastAsia="仿宋_GB2312" w:cs="仿宋"/>
          <w:color w:val="000000" w:themeColor="text1"/>
          <w:sz w:val="32"/>
          <w:szCs w:val="32"/>
        </w:rPr>
        <w:t>项目支出37.34万元，占总支出的比重为19.63%，是指单位为完成特定行政工作任务或事业发展目标而发生的支出，其中：湿地保护支出35.32万元、行政运行2.02万元。</w:t>
      </w:r>
    </w:p>
    <w:p>
      <w:pPr>
        <w:pStyle w:val="10"/>
        <w:spacing w:line="600" w:lineRule="exact"/>
        <w:ind w:firstLine="640"/>
        <w:rPr>
          <w:rFonts w:hint="default" w:ascii="黑体" w:hAnsi="黑体" w:eastAsia="黑体"/>
          <w:color w:val="000000" w:themeColor="text1"/>
          <w:sz w:val="32"/>
          <w:szCs w:val="32"/>
        </w:rPr>
      </w:pPr>
      <w:r>
        <w:rPr>
          <w:rFonts w:ascii="黑体" w:hAnsi="黑体" w:eastAsia="黑体"/>
          <w:sz w:val="32"/>
          <w:szCs w:val="32"/>
        </w:rPr>
        <w:t>三、政府性基金预算支出情况</w:t>
      </w:r>
    </w:p>
    <w:p>
      <w:pPr>
        <w:ind w:firstLine="800" w:firstLineChars="250"/>
        <w:rPr>
          <w:rFonts w:hint="default" w:ascii="仿宋_GB2312" w:hAnsi="仿宋" w:eastAsia="仿宋_GB2312" w:cs="仿宋"/>
          <w:color w:val="000000" w:themeColor="text1"/>
          <w:sz w:val="32"/>
          <w:szCs w:val="32"/>
        </w:rPr>
      </w:pPr>
      <w:r>
        <w:rPr>
          <w:rFonts w:ascii="仿宋_GB2312" w:hAnsi="仿宋" w:eastAsia="仿宋_GB2312" w:cs="仿宋"/>
          <w:color w:val="000000" w:themeColor="text1"/>
          <w:sz w:val="32"/>
          <w:szCs w:val="32"/>
        </w:rPr>
        <w:t>2023年政府性基金预算财政拨款收入决算数为8万元，2023年政府性基金预算财政拨款支出决算数为8万元（详见附件4：政府性基金预算支出情况表）。</w:t>
      </w:r>
    </w:p>
    <w:p>
      <w:pPr>
        <w:pStyle w:val="10"/>
        <w:spacing w:line="600" w:lineRule="exact"/>
        <w:ind w:firstLine="640"/>
        <w:rPr>
          <w:rFonts w:hint="default" w:ascii="黑体" w:hAnsi="黑体" w:eastAsia="黑体"/>
          <w:sz w:val="32"/>
          <w:szCs w:val="32"/>
        </w:rPr>
      </w:pPr>
      <w:r>
        <w:rPr>
          <w:rFonts w:ascii="黑体" w:hAnsi="黑体" w:eastAsia="黑体"/>
          <w:sz w:val="32"/>
          <w:szCs w:val="32"/>
        </w:rPr>
        <w:t>四、国有资本经营预算支出情况</w:t>
      </w:r>
    </w:p>
    <w:p>
      <w:pPr>
        <w:pStyle w:val="10"/>
        <w:spacing w:line="600" w:lineRule="exact"/>
        <w:ind w:firstLine="700" w:firstLineChars="250"/>
        <w:rPr>
          <w:rFonts w:hint="default" w:ascii="黑体" w:hAnsi="黑体" w:eastAsia="黑体" w:cs="仿宋_GB2312"/>
          <w:szCs w:val="28"/>
        </w:rPr>
      </w:pPr>
      <w:r>
        <w:rPr>
          <w:rFonts w:ascii="黑体" w:hAnsi="黑体" w:eastAsia="黑体" w:cs="仿宋_GB2312"/>
          <w:szCs w:val="28"/>
        </w:rPr>
        <w:t>无</w:t>
      </w:r>
    </w:p>
    <w:p>
      <w:pPr>
        <w:pStyle w:val="10"/>
        <w:spacing w:line="600" w:lineRule="exact"/>
        <w:ind w:firstLine="640"/>
        <w:rPr>
          <w:rFonts w:hint="default" w:ascii="黑体" w:hAnsi="黑体" w:eastAsia="黑体"/>
          <w:sz w:val="32"/>
          <w:szCs w:val="32"/>
        </w:rPr>
      </w:pPr>
      <w:r>
        <w:rPr>
          <w:rFonts w:ascii="黑体" w:hAnsi="黑体" w:eastAsia="黑体"/>
          <w:sz w:val="32"/>
          <w:szCs w:val="32"/>
        </w:rPr>
        <w:t>五、社会保险基金预算支出情况</w:t>
      </w:r>
    </w:p>
    <w:p>
      <w:pPr>
        <w:pStyle w:val="10"/>
        <w:spacing w:line="600" w:lineRule="exact"/>
        <w:ind w:firstLine="700" w:firstLineChars="250"/>
        <w:rPr>
          <w:rFonts w:hint="default" w:ascii="黑体" w:hAnsi="黑体" w:eastAsia="黑体" w:cs="仿宋_GB2312"/>
          <w:szCs w:val="28"/>
        </w:rPr>
      </w:pPr>
      <w:r>
        <w:rPr>
          <w:rFonts w:ascii="黑体" w:hAnsi="黑体" w:eastAsia="黑体" w:cs="仿宋_GB2312"/>
          <w:szCs w:val="28"/>
        </w:rPr>
        <w:t>无</w:t>
      </w:r>
    </w:p>
    <w:p>
      <w:pPr>
        <w:spacing w:line="570" w:lineRule="exact"/>
        <w:ind w:firstLine="645"/>
        <w:jc w:val="left"/>
        <w:outlineLvl w:val="0"/>
        <w:rPr>
          <w:rFonts w:hint="default" w:eastAsia="黑体"/>
          <w:sz w:val="32"/>
        </w:rPr>
      </w:pPr>
      <w:r>
        <w:rPr>
          <w:rFonts w:eastAsia="黑体"/>
          <w:sz w:val="32"/>
        </w:rPr>
        <w:t>六、部门整体支出绩效情况</w:t>
      </w:r>
    </w:p>
    <w:p>
      <w:pPr>
        <w:pStyle w:val="2"/>
        <w:ind w:firstLine="480" w:firstLineChars="150"/>
        <w:rPr>
          <w:rFonts w:hint="default" w:ascii="仿宋_GB2312" w:eastAsia="仿宋_GB2312" w:cs="仿宋"/>
          <w:color w:val="000000" w:themeColor="text1"/>
          <w:sz w:val="32"/>
          <w:szCs w:val="32"/>
        </w:rPr>
      </w:pPr>
    </w:p>
    <w:p>
      <w:pPr>
        <w:pStyle w:val="2"/>
        <w:ind w:firstLine="480" w:firstLineChars="150"/>
        <w:rPr>
          <w:rFonts w:hint="default" w:ascii="黑体" w:hAnsi="黑体" w:eastAsia="黑体" w:cs="仿宋"/>
          <w:b/>
          <w:color w:val="000000" w:themeColor="text1"/>
          <w:sz w:val="32"/>
          <w:szCs w:val="32"/>
        </w:rPr>
      </w:pPr>
      <w:r>
        <w:rPr>
          <w:rFonts w:ascii="仿宋_GB2312" w:eastAsia="仿宋_GB2312" w:cs="仿宋"/>
          <w:color w:val="000000" w:themeColor="text1"/>
          <w:sz w:val="32"/>
          <w:szCs w:val="32"/>
        </w:rPr>
        <w:t>（</w:t>
      </w:r>
      <w:r>
        <w:rPr>
          <w:rFonts w:ascii="黑体" w:hAnsi="黑体" w:eastAsia="黑体" w:cs="仿宋"/>
          <w:b/>
          <w:color w:val="000000" w:themeColor="text1"/>
          <w:sz w:val="32"/>
          <w:szCs w:val="32"/>
        </w:rPr>
        <w:t>一）工作总结</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一、科研监测和保护管理工作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1、根据湿地公园生境特点，合理布局，实施湿地公园动态监测机制，分别在月湖的沙背甸、霞灯、双牌大坝下游和日湖的上梧江、塘底、江村、理家坪等七个点安装了监控设备，通过手机可及时监测公园实况。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2、组织业务骨干分三批次赴长沙、常德、张家界参加全省湿地保护工作业务培训，提升了业务能力。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3、对中华秋沙鸭保护站的监测设备进行了维修维护，在秋沙鸭栖息地安装了警示牌和围栏，对河道残留的渔网、鱼笼进行了清理，安排了专人两班倒全天二十四小时值班，实行七天不休假巡护制度，全力守护千年鸟道安全、畅通，为越冬候鸟提供一个安全、舒适的栖息环境。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二、科普宣教工作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1、利用世界湿地日、爱鸟周、科技周、生态日在滨江广场、双牌大市场、乡镇集市向广大市民宣传《中华人民共和国湿地保护法》和《野生动物保护法》等政策法规，提高群众的环保意识、爱鸟护鸟意识。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2、沿江路宣传牌因年久失修，模糊不清，现已焕然一新，方便市民了解湿地知识。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3、向省文旅厅递交了《花千谷·月湖4A级景区申报书》，并在花千谷景区新修建了湿地科普馆，进一步加强了湿地科普宣传，花千谷·月湖4A级景区验收已顺利通过。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4、湖南新闻联播报道《中华秋沙鸭连续11年到永州双牌日月湖国家湿地公园越冬》，湖南日报记者专题报道日月湖湿地公园中华秋沙鸭越冬栖息情况，新华社报道《中华秋沙鸭“打卡”日月湖国家湿地公园》。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5、购买了3台固定式观鸟望远镜和3台手持高倍望远镜，方便了市民和游客朋友近距离观鸟。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三、其他工作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1、国际慢城创建工作：2023年9月，泷泊国际慢城指挥部派代表参加了在南京召开的中国国际慢城技术协调会，据中国国际慢联总部反馈消息，泷泊国际慢城申报条件排在前两位，2024年有望成功摘牌。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2、乡村振兴工作：我单位现有干部职工11人，在人员紧缺的情况下，仍派出2名同志担任驻村工作队第一支书和工作队员，圆满地完成了乡村振兴驻村工作。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 xml:space="preserve">3、创文创卫工作：用了不到一个月的时间对责任小区进行整改，从被约谈到上红榜，实现了责任区环境大转变。 </w:t>
      </w:r>
    </w:p>
    <w:p>
      <w:pPr>
        <w:spacing w:beforeLines="50" w:line="420" w:lineRule="exact"/>
        <w:ind w:left="15" w:leftChars="7" w:right="11" w:firstLine="640" w:firstLineChars="200"/>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4、圆满完成县委政府交办的其他中心工作。</w:t>
      </w:r>
    </w:p>
    <w:p>
      <w:pPr>
        <w:spacing w:beforeLines="50" w:line="420" w:lineRule="exact"/>
        <w:ind w:left="15" w:leftChars="7" w:right="11" w:firstLine="604" w:firstLineChars="200"/>
        <w:rPr>
          <w:rFonts w:hint="default" w:ascii="仿宋" w:hAnsi="仿宋" w:eastAsia="仿宋" w:cs="仿宋"/>
          <w:spacing w:val="6"/>
          <w:sz w:val="29"/>
          <w:szCs w:val="29"/>
        </w:rPr>
      </w:pPr>
    </w:p>
    <w:p>
      <w:pPr>
        <w:snapToGrid w:val="0"/>
        <w:spacing w:line="560" w:lineRule="exact"/>
        <w:ind w:firstLine="643" w:firstLineChars="200"/>
        <w:contextualSpacing/>
        <w:rPr>
          <w:rFonts w:hint="default" w:ascii="黑体" w:hAnsi="黑体" w:eastAsia="黑体" w:cs="仿宋_GB2312"/>
          <w:b/>
          <w:bCs/>
          <w:color w:val="000000"/>
          <w:sz w:val="32"/>
          <w:szCs w:val="32"/>
        </w:rPr>
      </w:pPr>
      <w:r>
        <w:rPr>
          <w:rFonts w:ascii="黑体" w:hAnsi="黑体" w:eastAsia="黑体" w:cs="仿宋"/>
          <w:b/>
          <w:color w:val="000000" w:themeColor="text1"/>
          <w:sz w:val="32"/>
          <w:szCs w:val="32"/>
        </w:rPr>
        <w:t>（二）</w:t>
      </w:r>
      <w:r>
        <w:rPr>
          <w:rFonts w:ascii="黑体" w:hAnsi="黑体" w:eastAsia="黑体" w:cs="仿宋_GB2312"/>
          <w:b/>
          <w:bCs/>
          <w:color w:val="000000"/>
          <w:sz w:val="32"/>
          <w:szCs w:val="32"/>
        </w:rPr>
        <w:t>存在的主要问题</w:t>
      </w:r>
    </w:p>
    <w:p>
      <w:pPr>
        <w:snapToGrid w:val="0"/>
        <w:spacing w:line="560" w:lineRule="exact"/>
        <w:ind w:firstLine="640" w:firstLineChars="200"/>
        <w:contextualSpacing/>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一是因湿地公园管理中心没有执法权，在候鸟栖息地发现渔船非法作业时，只能报告相关执法部门，但很难得到及时的处理，导致候鸟栖息地受到人类活动干扰。</w:t>
      </w:r>
    </w:p>
    <w:p>
      <w:pPr>
        <w:snapToGrid w:val="0"/>
        <w:spacing w:line="560" w:lineRule="exact"/>
        <w:ind w:firstLine="640" w:firstLineChars="200"/>
        <w:contextualSpacing/>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二是由于泷泊镇上双村片区村民于2005年与上双村村委会签订了浮洲岛种养植承包租赁合同，合同至2025年6月30日到期，因补偿款问题没谈妥，村民暂未退出浮洲岛种养殖活动，存在阻工现象，导致浮洲岛湿地保护与修复项目至今尚未开工。跟县领导汇报此情况后，会上已明确此项目等到2025年7月份再实施。</w:t>
      </w:r>
    </w:p>
    <w:p>
      <w:pPr>
        <w:numPr>
          <w:ilvl w:val="0"/>
          <w:numId w:val="3"/>
        </w:numPr>
        <w:snapToGrid w:val="0"/>
        <w:spacing w:line="560" w:lineRule="exact"/>
        <w:ind w:firstLine="640" w:firstLineChars="200"/>
        <w:contextualSpacing/>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理家坪乡车龙村双牌与道县交界的共管河道还存在越界采砂现象，由于路途遥远，监管起来有一定难度。</w:t>
      </w:r>
    </w:p>
    <w:p>
      <w:pPr>
        <w:numPr>
          <w:ilvl w:val="0"/>
          <w:numId w:val="3"/>
        </w:numPr>
        <w:snapToGrid w:val="0"/>
        <w:spacing w:line="560" w:lineRule="exact"/>
        <w:ind w:firstLine="640" w:firstLineChars="200"/>
        <w:contextualSpacing/>
        <w:rPr>
          <w:rFonts w:hint="default" w:ascii="仿宋_GB2312" w:hAnsi="仿宋" w:eastAsia="仿宋_GB2312" w:cs="仿宋"/>
          <w:color w:val="000000" w:themeColor="text1"/>
          <w:kern w:val="0"/>
          <w:sz w:val="32"/>
          <w:szCs w:val="32"/>
        </w:rPr>
      </w:pPr>
      <w:r>
        <w:rPr>
          <w:rFonts w:ascii="仿宋_GB2312" w:hAnsi="仿宋" w:eastAsia="仿宋_GB2312" w:cs="仿宋"/>
          <w:color w:val="000000" w:themeColor="text1"/>
          <w:kern w:val="0"/>
          <w:sz w:val="32"/>
          <w:szCs w:val="32"/>
        </w:rPr>
        <w:t>我中心自2020年-2023年，已陆续考走或调离4名在编在岗人员，三定方案编制为21人，现只有11人在编在岗，加上乡村振兴工作队抽调2人长期驻村，导致保护管理股和科研监测股两个股室只能安排1名工作人员，中心人员紧缺，亟待招兵买马。</w:t>
      </w:r>
    </w:p>
    <w:p>
      <w:pPr>
        <w:ind w:firstLine="640" w:firstLineChars="200"/>
        <w:rPr>
          <w:rFonts w:hint="default" w:ascii="黑体" w:hAnsi="黑体" w:eastAsia="黑体"/>
          <w:sz w:val="32"/>
          <w:szCs w:val="32"/>
        </w:rPr>
      </w:pPr>
      <w:r>
        <w:rPr>
          <w:rFonts w:ascii="仿宋_GB2312" w:eastAsia="仿宋_GB2312"/>
          <w:sz w:val="32"/>
          <w:szCs w:val="32"/>
        </w:rPr>
        <w:t>综上所述，2023年度，日月湖国家湿地公园管理中心整体支出效果良好。整体支出符合现实条件，秉持厉行节约合理开支的成本性原则，可操作性强；所有开支严格按照国家财务制度和财经纪律执行审批报账。</w:t>
      </w:r>
    </w:p>
    <w:p>
      <w:pPr>
        <w:spacing w:line="560" w:lineRule="exact"/>
        <w:ind w:firstLine="640" w:firstLineChars="200"/>
        <w:rPr>
          <w:rFonts w:hint="default" w:ascii="仿宋_GB2312" w:hAnsi="仿宋_GB2312" w:eastAsia="仿宋_GB2312" w:cs="仿宋_GB2312"/>
          <w:bCs/>
          <w:sz w:val="28"/>
          <w:szCs w:val="28"/>
        </w:rPr>
      </w:pPr>
      <w:r>
        <w:rPr>
          <w:rFonts w:ascii="仿宋_GB2312" w:hAnsi="仿宋" w:eastAsia="仿宋_GB2312" w:cs="仿宋"/>
          <w:sz w:val="32"/>
          <w:szCs w:val="32"/>
        </w:rPr>
        <w:t>专项资金支出未超项目资金使用范围，专项资金使用情况符合政策要求，合理合法，使用有效，管理规范。</w:t>
      </w:r>
    </w:p>
    <w:p>
      <w:pPr>
        <w:pStyle w:val="10"/>
        <w:spacing w:line="600" w:lineRule="exact"/>
        <w:ind w:firstLine="643"/>
        <w:rPr>
          <w:rFonts w:hint="default" w:ascii="黑体" w:hAnsi="黑体" w:eastAsia="黑体"/>
          <w:b/>
          <w:sz w:val="32"/>
          <w:szCs w:val="32"/>
        </w:rPr>
      </w:pPr>
      <w:r>
        <w:rPr>
          <w:rFonts w:ascii="黑体" w:hAnsi="黑体" w:eastAsia="黑体"/>
          <w:b/>
          <w:sz w:val="32"/>
          <w:szCs w:val="32"/>
        </w:rPr>
        <w:t>七、存在的问题及原因分析</w:t>
      </w:r>
    </w:p>
    <w:p>
      <w:pPr>
        <w:spacing w:line="560" w:lineRule="exact"/>
        <w:ind w:firstLine="960" w:firstLineChars="300"/>
        <w:rPr>
          <w:rFonts w:hint="default" w:ascii="仿宋_GB2312" w:hAnsi="仿宋" w:eastAsia="仿宋_GB2312" w:cs="仿宋"/>
          <w:kern w:val="0"/>
          <w:sz w:val="32"/>
          <w:szCs w:val="32"/>
        </w:rPr>
      </w:pPr>
      <w:r>
        <w:rPr>
          <w:rFonts w:ascii="仿宋_GB2312" w:hAnsi="仿宋" w:eastAsia="仿宋_GB2312" w:cs="仿宋"/>
          <w:kern w:val="0"/>
          <w:sz w:val="32"/>
          <w:szCs w:val="32"/>
        </w:rPr>
        <w:t>2023年本单位总体运行稳中向好，机构运行与事业建设逐步进入正常化，预算执行过程中未出现较大的问题。当然，在预算执行过程中不同程度的存在以下问题：</w:t>
      </w:r>
    </w:p>
    <w:p>
      <w:pPr>
        <w:spacing w:line="560" w:lineRule="exact"/>
        <w:ind w:firstLine="640" w:firstLineChars="200"/>
        <w:rPr>
          <w:rFonts w:hint="default" w:ascii="仿宋_GB2312" w:hAnsi="仿宋" w:eastAsia="仿宋_GB2312" w:cs="仿宋"/>
          <w:kern w:val="0"/>
          <w:sz w:val="32"/>
          <w:szCs w:val="32"/>
        </w:rPr>
      </w:pPr>
      <w:r>
        <w:rPr>
          <w:rFonts w:ascii="仿宋_GB2312" w:hAnsi="仿宋" w:eastAsia="仿宋_GB2312" w:cs="仿宋"/>
          <w:kern w:val="0"/>
          <w:sz w:val="32"/>
          <w:szCs w:val="32"/>
        </w:rPr>
        <w:t>（一）因公用经费预算不足，单位日常运转开支比较困难，公用经费预算有待提升。</w:t>
      </w:r>
    </w:p>
    <w:p>
      <w:pPr>
        <w:spacing w:line="560" w:lineRule="exact"/>
        <w:ind w:firstLine="640" w:firstLineChars="200"/>
        <w:rPr>
          <w:rFonts w:hint="default" w:ascii="仿宋_GB2312" w:hAnsi="仿宋" w:eastAsia="仿宋_GB2312" w:cs="仿宋"/>
          <w:kern w:val="0"/>
          <w:sz w:val="32"/>
          <w:szCs w:val="32"/>
        </w:rPr>
      </w:pPr>
      <w:r>
        <w:rPr>
          <w:rFonts w:ascii="仿宋_GB2312" w:hAnsi="仿宋" w:eastAsia="仿宋_GB2312" w:cs="仿宋"/>
          <w:kern w:val="0"/>
          <w:sz w:val="32"/>
          <w:szCs w:val="32"/>
        </w:rPr>
        <w:t>由于人员经费、社会保障缴费、工会经费费用较多，运转经费已经吃紧。同时，我单位乡村振兴联系上梧江乡新福禄村，由于是乡村振兴牵头单位，按县委、县政府文件精神，牵头单位必须抽调2人长期驻村，需保障联系村的乡村振兴扶持经费和驻村工作人员的经费开支。由此导致的经费开支较大，公用经费负担更加吃紧。</w:t>
      </w:r>
    </w:p>
    <w:p>
      <w:pPr>
        <w:spacing w:line="560" w:lineRule="exact"/>
        <w:ind w:firstLine="640" w:firstLineChars="200"/>
        <w:rPr>
          <w:rFonts w:hint="default" w:ascii="仿宋_GB2312" w:hAnsi="仿宋" w:eastAsia="仿宋_GB2312" w:cs="仿宋"/>
          <w:kern w:val="0"/>
          <w:sz w:val="32"/>
          <w:szCs w:val="32"/>
        </w:rPr>
      </w:pPr>
      <w:r>
        <w:rPr>
          <w:rFonts w:ascii="仿宋_GB2312" w:hAnsi="仿宋" w:eastAsia="仿宋_GB2312" w:cs="仿宋"/>
          <w:kern w:val="0"/>
          <w:sz w:val="32"/>
          <w:szCs w:val="32"/>
        </w:rPr>
        <w:t>现有工作经费无法开展更为专业化的湿地保护管理及科研监测活动。由于洪涝灾害、自然损坏等因素，公园范围内部分监测视频、线路等基础设施以及界碑、界桩损坏，但因经费不足，还未完全修复到位。</w:t>
      </w:r>
    </w:p>
    <w:p>
      <w:pPr>
        <w:spacing w:line="560" w:lineRule="exact"/>
        <w:ind w:firstLine="640" w:firstLineChars="200"/>
        <w:rPr>
          <w:rFonts w:hint="default" w:ascii="仿宋_GB2312" w:hAnsi="仿宋" w:eastAsia="仿宋_GB2312" w:cs="仿宋"/>
          <w:kern w:val="0"/>
          <w:sz w:val="32"/>
          <w:szCs w:val="32"/>
        </w:rPr>
      </w:pPr>
      <w:r>
        <w:rPr>
          <w:rFonts w:ascii="仿宋_GB2312" w:hAnsi="仿宋" w:eastAsia="仿宋_GB2312" w:cs="仿宋"/>
          <w:kern w:val="0"/>
          <w:sz w:val="32"/>
          <w:szCs w:val="32"/>
        </w:rPr>
        <w:t>（二）预算编制不够明确和细化，预算编制的合理性需要提高，预算执行力度还要进一步加强。资金使用效益有待进一步提高，绩效目标设立不够明确、细化和量化。</w:t>
      </w:r>
    </w:p>
    <w:p>
      <w:pPr>
        <w:pStyle w:val="10"/>
        <w:spacing w:line="600" w:lineRule="exact"/>
        <w:ind w:firstLine="643"/>
        <w:rPr>
          <w:rFonts w:hint="default" w:ascii="黑体" w:hAnsi="黑体" w:eastAsia="黑体"/>
          <w:b/>
          <w:sz w:val="32"/>
          <w:szCs w:val="32"/>
        </w:rPr>
      </w:pPr>
      <w:r>
        <w:rPr>
          <w:rFonts w:ascii="黑体" w:hAnsi="黑体" w:eastAsia="黑体"/>
          <w:b/>
          <w:sz w:val="32"/>
          <w:szCs w:val="32"/>
        </w:rPr>
        <w:t>八、下一步改进措施</w:t>
      </w:r>
    </w:p>
    <w:p>
      <w:pPr>
        <w:pStyle w:val="6"/>
        <w:shd w:val="clear" w:color="auto" w:fill="FFFFFF"/>
        <w:adjustRightInd w:val="0"/>
        <w:spacing w:beforeAutospacing="0" w:afterAutospacing="0" w:line="5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一）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6"/>
        <w:shd w:val="clear" w:color="auto" w:fill="FFFFFF"/>
        <w:adjustRightInd w:val="0"/>
        <w:spacing w:beforeAutospacing="0" w:afterAutospacing="0" w:line="5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（二）加强单位内控制度建设，完善相关内部管理制度。按县财政局要求开展内部控制建设工作，通过查找内部管理中的薄弱环节提出问题；通过清理制度完善各项《内部控制制度》。</w:t>
      </w:r>
    </w:p>
    <w:p>
      <w:pPr>
        <w:pStyle w:val="6"/>
        <w:shd w:val="clear" w:color="auto" w:fill="FFFFFF"/>
        <w:adjustRightInd w:val="0"/>
        <w:spacing w:beforeAutospacing="0" w:afterAutospacing="0" w:line="5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（三）进一步加强组织财务工作业务技能学习和培训，提升业务工作水平，尤其是有针对性的开展培训。</w:t>
      </w:r>
    </w:p>
    <w:p>
      <w:pPr>
        <w:pStyle w:val="6"/>
        <w:shd w:val="clear" w:color="auto" w:fill="FFFFFF"/>
        <w:adjustRightInd w:val="0"/>
        <w:spacing w:beforeAutospacing="0" w:afterAutospacing="0" w:line="5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（四）适当增加公用经费预算，满足单位日常开支，保障单位工作顺利开展。</w:t>
      </w:r>
    </w:p>
    <w:p>
      <w:pPr>
        <w:pStyle w:val="6"/>
        <w:shd w:val="clear" w:color="auto" w:fill="FFFFFF"/>
        <w:spacing w:beforeAutospacing="0" w:afterAutospacing="0" w:line="560" w:lineRule="exact"/>
        <w:ind w:firstLine="640"/>
        <w:rPr>
          <w:rFonts w:cs="仿宋"/>
          <w:sz w:val="32"/>
          <w:szCs w:val="32"/>
        </w:rPr>
      </w:pPr>
      <w:r>
        <w:rPr>
          <w:rFonts w:hint="eastAsia" w:cs="仿宋"/>
          <w:sz w:val="32"/>
          <w:szCs w:val="32"/>
        </w:rPr>
        <w:t> </w:t>
      </w:r>
    </w:p>
    <w:p>
      <w:pPr>
        <w:pStyle w:val="6"/>
        <w:shd w:val="clear" w:color="auto" w:fill="FFFFFF"/>
        <w:spacing w:beforeAutospacing="0" w:afterAutospacing="0" w:line="560" w:lineRule="exact"/>
        <w:ind w:firstLine="640"/>
        <w:rPr>
          <w:rFonts w:ascii="黑体" w:hAnsi="黑体" w:eastAsia="黑体"/>
          <w:b/>
          <w:kern w:val="2"/>
          <w:sz w:val="32"/>
          <w:szCs w:val="32"/>
        </w:rPr>
      </w:pPr>
      <w:r>
        <w:rPr>
          <w:rFonts w:hint="eastAsia" w:ascii="黑体" w:hAnsi="黑体" w:eastAsia="黑体"/>
          <w:b/>
          <w:sz w:val="32"/>
          <w:szCs w:val="32"/>
        </w:rPr>
        <w:t>九、</w:t>
      </w:r>
      <w:r>
        <w:rPr>
          <w:rFonts w:hint="eastAsia" w:ascii="黑体" w:hAnsi="黑体" w:eastAsia="黑体"/>
          <w:b/>
          <w:kern w:val="2"/>
          <w:sz w:val="32"/>
          <w:szCs w:val="32"/>
        </w:rPr>
        <w:t>部门整体支出绩效自评结果拟应用和公开情况</w:t>
      </w:r>
    </w:p>
    <w:p>
      <w:pPr>
        <w:spacing w:line="560" w:lineRule="exact"/>
        <w:ind w:firstLine="640" w:firstLineChars="200"/>
        <w:rPr>
          <w:rFonts w:hint="default" w:ascii="仿宋_GB2312" w:hAnsi="仿宋" w:eastAsia="仿宋_GB2312" w:cs="仿宋"/>
          <w:kern w:val="0"/>
          <w:sz w:val="32"/>
          <w:szCs w:val="32"/>
        </w:rPr>
      </w:pPr>
      <w:r>
        <w:rPr>
          <w:rFonts w:ascii="仿宋_GB2312" w:hAnsi="仿宋" w:eastAsia="仿宋_GB2312" w:cs="仿宋"/>
          <w:kern w:val="0"/>
          <w:sz w:val="32"/>
          <w:szCs w:val="32"/>
        </w:rPr>
        <w:t>根据部门整体支出绩效评价指标体系，我单位2023年度评价得分为91分。</w:t>
      </w:r>
    </w:p>
    <w:p>
      <w:pPr>
        <w:spacing w:line="600" w:lineRule="exact"/>
        <w:ind w:firstLine="640" w:firstLineChars="200"/>
        <w:rPr>
          <w:rFonts w:hint="default" w:ascii="黑体" w:hAnsi="黑体" w:eastAsia="黑体"/>
          <w:sz w:val="32"/>
          <w:szCs w:val="32"/>
        </w:rPr>
      </w:pPr>
    </w:p>
    <w:p>
      <w:pPr>
        <w:spacing w:line="600" w:lineRule="exact"/>
        <w:ind w:firstLine="643" w:firstLineChars="200"/>
        <w:rPr>
          <w:rFonts w:hint="default" w:eastAsia="黑体"/>
          <w:b/>
          <w:sz w:val="32"/>
          <w:szCs w:val="32"/>
        </w:rPr>
      </w:pPr>
      <w:r>
        <w:rPr>
          <w:rFonts w:ascii="黑体" w:hAnsi="黑体" w:eastAsia="黑体"/>
          <w:b/>
          <w:sz w:val="32"/>
          <w:szCs w:val="32"/>
        </w:rPr>
        <w:t>其他需要说明的情况</w:t>
      </w:r>
    </w:p>
    <w:p>
      <w:pPr>
        <w:pStyle w:val="10"/>
        <w:spacing w:line="600" w:lineRule="exact"/>
        <w:ind w:firstLine="640"/>
        <w:rPr>
          <w:rFonts w:hint="default" w:ascii="仿宋_GB2312" w:eastAsia="仿宋_GB2312" w:cs="仿宋"/>
          <w:sz w:val="32"/>
          <w:szCs w:val="32"/>
        </w:rPr>
      </w:pPr>
      <w:r>
        <w:rPr>
          <w:rFonts w:ascii="仿宋_GB2312" w:eastAsia="仿宋_GB2312" w:cs="仿宋"/>
          <w:sz w:val="32"/>
          <w:szCs w:val="32"/>
        </w:rPr>
        <w:t>无</w:t>
      </w:r>
    </w:p>
    <w:p>
      <w:pPr>
        <w:spacing w:afterLines="50" w:line="600" w:lineRule="exact"/>
        <w:rPr>
          <w:rFonts w:hint="default" w:eastAsia="黑体"/>
          <w:sz w:val="32"/>
        </w:rPr>
      </w:pPr>
    </w:p>
    <w:p>
      <w:pPr>
        <w:pStyle w:val="2"/>
        <w:ind w:firstLine="280"/>
        <w:rPr>
          <w:rFonts w:hint="default" w:eastAsia="黑体"/>
        </w:rPr>
      </w:pPr>
    </w:p>
    <w:p>
      <w:pPr>
        <w:pStyle w:val="2"/>
        <w:ind w:firstLine="280"/>
        <w:rPr>
          <w:rFonts w:hint="default" w:eastAsia="黑体"/>
        </w:rPr>
      </w:pPr>
    </w:p>
    <w:p>
      <w:pPr>
        <w:pStyle w:val="2"/>
        <w:ind w:firstLine="280"/>
        <w:rPr>
          <w:rFonts w:hint="default" w:eastAsia="黑体"/>
        </w:rPr>
      </w:pPr>
    </w:p>
    <w:p>
      <w:pPr>
        <w:pStyle w:val="2"/>
        <w:ind w:firstLine="280"/>
        <w:rPr>
          <w:rFonts w:hint="default" w:eastAsia="黑体"/>
        </w:rPr>
      </w:pPr>
    </w:p>
    <w:p>
      <w:pPr>
        <w:pStyle w:val="2"/>
        <w:ind w:firstLine="280"/>
        <w:rPr>
          <w:rFonts w:hint="default" w:eastAsia="黑体"/>
        </w:rPr>
      </w:pPr>
    </w:p>
    <w:p>
      <w:pPr>
        <w:pStyle w:val="2"/>
        <w:ind w:firstLine="280"/>
        <w:rPr>
          <w:rFonts w:hint="default" w:eastAsia="黑体"/>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8"/>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21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52.38%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olor w:val="000000" w:themeColor="text1"/>
                <w:kern w:val="0"/>
              </w:rPr>
            </w:pPr>
            <w:r>
              <w:rPr>
                <w:rFonts w:eastAsia="仿宋_GB2312"/>
                <w:color w:val="000000" w:themeColor="text1"/>
                <w:kern w:val="0"/>
              </w:rPr>
              <w:t>145.74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olor w:val="000000" w:themeColor="text1"/>
                <w:kern w:val="0"/>
              </w:rPr>
            </w:pPr>
            <w:r>
              <w:rPr>
                <w:rFonts w:eastAsia="仿宋_GB2312"/>
                <w:color w:val="000000" w:themeColor="text1"/>
                <w:kern w:val="0"/>
              </w:rPr>
              <w:t>152.46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olor w:val="000000" w:themeColor="text1"/>
                <w:kern w:val="0"/>
              </w:rPr>
            </w:pPr>
            <w:r>
              <w:rPr>
                <w:rFonts w:eastAsia="仿宋_GB2312"/>
                <w:color w:val="000000" w:themeColor="text1"/>
                <w:kern w:val="0"/>
              </w:rPr>
              <w:t>152.85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olor w:val="000000" w:themeColor="text1"/>
                <w:kern w:val="0"/>
              </w:rPr>
              <w:t>21.56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19.6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18.21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olor w:val="000000" w:themeColor="text1"/>
                <w:kern w:val="0"/>
              </w:rPr>
              <w:t>2.5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3.06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olor w:val="000000" w:themeColor="text1"/>
                <w:kern w:val="0"/>
              </w:rPr>
              <w:t>5.62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3.28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3.272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olor w:val="000000" w:themeColor="text1"/>
                <w:kern w:val="0"/>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color w:val="000000" w:themeColor="text1"/>
                <w:kern w:val="0"/>
                <w:szCs w:val="21"/>
              </w:rPr>
            </w:pPr>
            <w:r>
              <w:rPr>
                <w:rFonts w:eastAsia="仿宋_GB2312" w:cs="Times New Roman"/>
                <w:color w:val="000000" w:themeColor="text1"/>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1.65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0.15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kern w:val="0"/>
              </w:rPr>
              <w:t>82.67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56.29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widowControl/>
              <w:jc w:val="center"/>
              <w:rPr>
                <w:rFonts w:hint="default" w:eastAsia="仿宋_GB2312" w:cs="Times New Roman"/>
                <w:kern w:val="0"/>
                <w:szCs w:val="21"/>
              </w:rPr>
            </w:pPr>
            <w:r>
              <w:rPr>
                <w:rFonts w:eastAsia="仿宋_GB2312" w:cs="Times New Roman"/>
                <w:kern w:val="0"/>
                <w:szCs w:val="21"/>
              </w:rPr>
              <w:t>46.79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10.12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spacing w:line="4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填表人：刘苏玲 填报日期：2024.4.12联系电话7721608单位负责人签字：刘兴国</w:t>
      </w: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r>
        <w:rPr>
          <w:rFonts w:ascii="黑体" w:hAnsi="黑体" w:eastAsia="黑体" w:cs="黑体"/>
          <w:sz w:val="32"/>
          <w:szCs w:val="32"/>
        </w:rPr>
        <w:t>附件3</w:t>
      </w:r>
    </w:p>
    <w:tbl>
      <w:tblPr>
        <w:tblStyle w:val="8"/>
        <w:tblW w:w="10140" w:type="dxa"/>
        <w:tblInd w:w="93" w:type="dxa"/>
        <w:tblLayout w:type="fixed"/>
        <w:tblCellMar>
          <w:top w:w="0" w:type="dxa"/>
          <w:left w:w="108" w:type="dxa"/>
          <w:bottom w:w="0" w:type="dxa"/>
          <w:right w:w="108" w:type="dxa"/>
        </w:tblCellMar>
      </w:tblPr>
      <w:tblGrid>
        <w:gridCol w:w="760"/>
        <w:gridCol w:w="1080"/>
        <w:gridCol w:w="1080"/>
        <w:gridCol w:w="1000"/>
        <w:gridCol w:w="960"/>
        <w:gridCol w:w="1000"/>
        <w:gridCol w:w="1080"/>
        <w:gridCol w:w="1060"/>
        <w:gridCol w:w="980"/>
        <w:gridCol w:w="1140"/>
      </w:tblGrid>
      <w:tr>
        <w:tblPrEx>
          <w:tblLayout w:type="fixed"/>
          <w:tblCellMar>
            <w:top w:w="0" w:type="dxa"/>
            <w:left w:w="108" w:type="dxa"/>
            <w:bottom w:w="0" w:type="dxa"/>
            <w:right w:w="108" w:type="dxa"/>
          </w:tblCellMar>
        </w:tblPrEx>
        <w:trPr>
          <w:trHeight w:val="555" w:hRule="atLeast"/>
        </w:trPr>
        <w:tc>
          <w:tcPr>
            <w:tcW w:w="10140" w:type="dxa"/>
            <w:gridSpan w:val="10"/>
            <w:tcBorders>
              <w:top w:val="nil"/>
              <w:left w:val="nil"/>
              <w:bottom w:val="single" w:color="auto" w:sz="12" w:space="0"/>
              <w:right w:val="nil"/>
            </w:tcBorders>
            <w:shd w:val="clear" w:color="auto" w:fill="auto"/>
            <w:vAlign w:val="center"/>
          </w:tcPr>
          <w:p>
            <w:pPr>
              <w:widowControl/>
              <w:jc w:val="center"/>
              <w:rPr>
                <w:rFonts w:hint="default"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2023年度部门整体支出绩效自评表</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县级预算部门名称</w:t>
            </w:r>
          </w:p>
        </w:tc>
        <w:tc>
          <w:tcPr>
            <w:tcW w:w="9380" w:type="dxa"/>
            <w:gridSpan w:val="9"/>
            <w:tcBorders>
              <w:top w:val="single" w:color="auto" w:sz="12" w:space="0"/>
              <w:left w:val="nil"/>
              <w:bottom w:val="single" w:color="auto" w:sz="8" w:space="0"/>
              <w:right w:val="single" w:color="000000" w:sz="12"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双牌县日月湖国家湿地公园管理中心　　</w:t>
            </w:r>
          </w:p>
        </w:tc>
      </w:tr>
      <w:tr>
        <w:tblPrEx>
          <w:tblLayout w:type="fixed"/>
          <w:tblCellMar>
            <w:top w:w="0" w:type="dxa"/>
            <w:left w:w="108" w:type="dxa"/>
            <w:bottom w:w="0" w:type="dxa"/>
            <w:right w:w="108" w:type="dxa"/>
          </w:tblCellMar>
        </w:tblPrEx>
        <w:trPr>
          <w:trHeight w:val="885" w:hRule="atLeast"/>
        </w:trPr>
        <w:tc>
          <w:tcPr>
            <w:tcW w:w="760" w:type="dxa"/>
            <w:vMerge w:val="restart"/>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年度预算申请（万元）</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　</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年初预算数</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全年预算数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全年执行数</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分值</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执行率</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得分</w:t>
            </w:r>
          </w:p>
        </w:tc>
      </w:tr>
      <w:tr>
        <w:tblPrEx>
          <w:tblLayout w:type="fixed"/>
          <w:tblCellMar>
            <w:top w:w="0" w:type="dxa"/>
            <w:left w:w="108" w:type="dxa"/>
            <w:bottom w:w="0" w:type="dxa"/>
            <w:right w:w="108" w:type="dxa"/>
          </w:tblCellMar>
        </w:tblPrEx>
        <w:trPr>
          <w:trHeight w:val="885" w:hRule="atLeast"/>
        </w:trPr>
        <w:tc>
          <w:tcPr>
            <w:tcW w:w="760" w:type="dxa"/>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年度资金总额</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rPr>
            </w:pPr>
            <w:r>
              <w:rPr>
                <w:rFonts w:ascii="仿宋_GB2312" w:hAnsi="宋体" w:eastAsia="仿宋_GB2312" w:cs="宋体"/>
                <w:color w:val="000000"/>
                <w:kern w:val="0"/>
                <w:szCs w:val="21"/>
              </w:rPr>
              <w:t>208.75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default" w:eastAsia="宋体" w:cs="Times New Roman"/>
                <w:color w:val="000000"/>
                <w:kern w:val="0"/>
                <w:szCs w:val="21"/>
              </w:rPr>
            </w:pPr>
            <w:r>
              <w:rPr>
                <w:rFonts w:eastAsia="宋体" w:cs="Times New Roman"/>
                <w:color w:val="000000"/>
                <w:kern w:val="0"/>
                <w:szCs w:val="21"/>
              </w:rPr>
              <w:t>208.75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eastAsia="宋体" w:cs="Times New Roman"/>
                <w:color w:val="000000"/>
                <w:kern w:val="0"/>
                <w:szCs w:val="21"/>
              </w:rPr>
            </w:pPr>
            <w:r>
              <w:rPr>
                <w:rFonts w:eastAsia="宋体" w:cs="Times New Roman"/>
                <w:color w:val="000000"/>
                <w:kern w:val="0"/>
                <w:szCs w:val="21"/>
              </w:rPr>
              <w:t>199.64</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eastAsia="宋体" w:cs="Times New Roman"/>
                <w:color w:val="000000"/>
                <w:kern w:val="0"/>
                <w:szCs w:val="21"/>
              </w:rPr>
            </w:pPr>
            <w:r>
              <w:rPr>
                <w:rFonts w:eastAsia="宋体" w:cs="Times New Roman"/>
                <w:color w:val="000000"/>
                <w:kern w:val="0"/>
                <w:szCs w:val="21"/>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eastAsia="宋体" w:cs="Times New Roman"/>
                <w:color w:val="000000"/>
                <w:kern w:val="0"/>
                <w:szCs w:val="21"/>
              </w:rPr>
            </w:pPr>
            <w:r>
              <w:rPr>
                <w:rFonts w:eastAsia="宋体" w:cs="Times New Roman"/>
                <w:color w:val="000000"/>
                <w:kern w:val="0"/>
                <w:szCs w:val="21"/>
              </w:rPr>
              <w:t>95.64%</w:t>
            </w:r>
          </w:p>
        </w:tc>
        <w:tc>
          <w:tcPr>
            <w:tcW w:w="1140" w:type="dxa"/>
            <w:tcBorders>
              <w:top w:val="nil"/>
              <w:left w:val="nil"/>
              <w:bottom w:val="single" w:color="auto" w:sz="8" w:space="0"/>
              <w:right w:val="single" w:color="auto" w:sz="12" w:space="0"/>
            </w:tcBorders>
            <w:shd w:val="clear" w:color="000000" w:fill="FFFFFF"/>
            <w:vAlign w:val="center"/>
          </w:tcPr>
          <w:p>
            <w:pPr>
              <w:widowControl/>
              <w:jc w:val="center"/>
              <w:rPr>
                <w:rFonts w:hint="default" w:eastAsia="宋体" w:cs="Times New Roman"/>
                <w:color w:val="000000"/>
                <w:kern w:val="0"/>
                <w:szCs w:val="21"/>
              </w:rPr>
            </w:pPr>
            <w:r>
              <w:rPr>
                <w:rFonts w:eastAsia="宋体" w:cs="Times New Roman"/>
                <w:color w:val="000000"/>
                <w:kern w:val="0"/>
                <w:szCs w:val="21"/>
              </w:rPr>
              <w:t>9.56</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　</w:t>
            </w: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按收入性质分：199.64</w:t>
            </w:r>
          </w:p>
        </w:tc>
        <w:tc>
          <w:tcPr>
            <w:tcW w:w="426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按支出性质分：199.64</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xml:space="preserve">  其中：  一般公共预算：190.19</w:t>
            </w:r>
          </w:p>
        </w:tc>
        <w:tc>
          <w:tcPr>
            <w:tcW w:w="426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其中：基本支出：152.85</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ind w:firstLine="1320" w:firstLineChars="550"/>
              <w:jc w:val="left"/>
              <w:rPr>
                <w:rFonts w:hint="default" w:ascii="宋体" w:hAnsi="宋体" w:eastAsia="宋体" w:cs="宋体"/>
                <w:color w:val="000000"/>
                <w:kern w:val="0"/>
                <w:sz w:val="24"/>
              </w:rPr>
            </w:pPr>
            <w:r>
              <w:rPr>
                <w:rFonts w:ascii="宋体" w:hAnsi="宋体" w:eastAsia="宋体" w:cs="宋体"/>
                <w:color w:val="000000"/>
                <w:kern w:val="0"/>
                <w:sz w:val="24"/>
              </w:rPr>
              <w:t>政府性基金拨款：8</w:t>
            </w:r>
          </w:p>
        </w:tc>
        <w:tc>
          <w:tcPr>
            <w:tcW w:w="4260" w:type="dxa"/>
            <w:gridSpan w:val="4"/>
            <w:tcBorders>
              <w:top w:val="single" w:color="auto" w:sz="8" w:space="0"/>
              <w:left w:val="nil"/>
              <w:bottom w:val="single" w:color="auto" w:sz="8" w:space="0"/>
              <w:right w:val="single" w:color="000000" w:sz="12" w:space="0"/>
            </w:tcBorders>
            <w:shd w:val="clear" w:color="auto" w:fill="auto"/>
            <w:vAlign w:val="center"/>
          </w:tcPr>
          <w:p>
            <w:pPr>
              <w:widowControl/>
              <w:ind w:firstLine="720" w:firstLineChars="300"/>
              <w:jc w:val="left"/>
              <w:rPr>
                <w:rFonts w:hint="default" w:ascii="宋体" w:hAnsi="宋体" w:eastAsia="宋体" w:cs="宋体"/>
                <w:color w:val="000000"/>
                <w:kern w:val="0"/>
                <w:sz w:val="24"/>
              </w:rPr>
            </w:pPr>
            <w:r>
              <w:rPr>
                <w:rFonts w:ascii="宋体" w:hAnsi="宋体" w:eastAsia="宋体" w:cs="宋体"/>
                <w:color w:val="000000"/>
                <w:kern w:val="0"/>
                <w:sz w:val="24"/>
              </w:rPr>
              <w:t>项目支出：46.79</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ind w:firstLine="1200" w:firstLineChars="500"/>
              <w:jc w:val="left"/>
              <w:rPr>
                <w:rFonts w:hint="default" w:ascii="宋体" w:hAnsi="宋体" w:eastAsia="宋体" w:cs="宋体"/>
                <w:color w:val="000000"/>
                <w:kern w:val="0"/>
                <w:sz w:val="24"/>
              </w:rPr>
            </w:pPr>
            <w:r>
              <w:rPr>
                <w:rFonts w:ascii="宋体" w:hAnsi="宋体" w:eastAsia="宋体" w:cs="宋体"/>
                <w:color w:val="000000"/>
                <w:kern w:val="0"/>
                <w:sz w:val="24"/>
              </w:rPr>
              <w:t>纳入专户管理的非税收入拨款：</w:t>
            </w:r>
          </w:p>
        </w:tc>
        <w:tc>
          <w:tcPr>
            <w:tcW w:w="426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ind w:firstLine="1200" w:firstLineChars="500"/>
              <w:jc w:val="left"/>
              <w:rPr>
                <w:rFonts w:hint="default" w:ascii="宋体" w:hAnsi="宋体" w:eastAsia="宋体" w:cs="宋体"/>
                <w:color w:val="000000"/>
                <w:kern w:val="0"/>
                <w:sz w:val="24"/>
              </w:rPr>
            </w:pPr>
            <w:r>
              <w:rPr>
                <w:rFonts w:ascii="宋体" w:hAnsi="宋体" w:eastAsia="宋体" w:cs="宋体"/>
                <w:color w:val="000000"/>
                <w:kern w:val="0"/>
                <w:sz w:val="24"/>
              </w:rPr>
              <w:t>其他资金：1.45</w:t>
            </w:r>
          </w:p>
        </w:tc>
        <w:tc>
          <w:tcPr>
            <w:tcW w:w="426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r>
      <w:tr>
        <w:tblPrEx>
          <w:tblLayout w:type="fixed"/>
          <w:tblCellMar>
            <w:top w:w="0" w:type="dxa"/>
            <w:left w:w="108" w:type="dxa"/>
            <w:bottom w:w="0" w:type="dxa"/>
            <w:right w:w="108" w:type="dxa"/>
          </w:tblCellMar>
        </w:tblPrEx>
        <w:trPr>
          <w:trHeight w:val="885" w:hRule="atLeast"/>
        </w:trPr>
        <w:tc>
          <w:tcPr>
            <w:tcW w:w="760" w:type="dxa"/>
            <w:vMerge w:val="restart"/>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年度总体目标</w:t>
            </w: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预期目标</w:t>
            </w:r>
          </w:p>
        </w:tc>
        <w:tc>
          <w:tcPr>
            <w:tcW w:w="426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实际完成情况　</w:t>
            </w:r>
          </w:p>
        </w:tc>
      </w:tr>
      <w:tr>
        <w:tblPrEx>
          <w:tblLayout w:type="fixed"/>
          <w:tblCellMar>
            <w:top w:w="0" w:type="dxa"/>
            <w:left w:w="108" w:type="dxa"/>
            <w:bottom w:w="0" w:type="dxa"/>
            <w:right w:w="108" w:type="dxa"/>
          </w:tblCellMar>
        </w:tblPrEx>
        <w:trPr>
          <w:trHeight w:val="1024" w:hRule="atLeast"/>
        </w:trPr>
        <w:tc>
          <w:tcPr>
            <w:tcW w:w="760" w:type="dxa"/>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5120" w:type="dxa"/>
            <w:gridSpan w:val="5"/>
            <w:tcBorders>
              <w:top w:val="single" w:color="auto" w:sz="8" w:space="0"/>
              <w:left w:val="nil"/>
              <w:bottom w:val="nil"/>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目标1、保障人员支出和单位正常运转；</w:t>
            </w:r>
          </w:p>
        </w:tc>
        <w:tc>
          <w:tcPr>
            <w:tcW w:w="4260" w:type="dxa"/>
            <w:gridSpan w:val="4"/>
            <w:tcBorders>
              <w:top w:val="single" w:color="auto" w:sz="8" w:space="0"/>
              <w:left w:val="nil"/>
              <w:bottom w:val="single" w:color="auto" w:sz="8" w:space="0"/>
              <w:right w:val="single" w:color="000000" w:sz="8" w:space="0"/>
            </w:tcBorders>
            <w:shd w:val="clear" w:color="000000" w:fill="FFFFFF"/>
            <w:vAlign w:val="center"/>
          </w:tcPr>
          <w:p>
            <w:pPr>
              <w:widowControl/>
              <w:rPr>
                <w:rFonts w:hint="default" w:ascii="宋体" w:hAnsi="宋体" w:eastAsia="宋体" w:cs="宋体"/>
                <w:color w:val="000000"/>
                <w:kern w:val="0"/>
                <w:sz w:val="18"/>
                <w:szCs w:val="18"/>
              </w:rPr>
            </w:pPr>
            <w:r>
              <w:rPr>
                <w:rFonts w:ascii="宋体" w:hAnsi="宋体" w:eastAsia="宋体" w:cs="宋体"/>
                <w:color w:val="000000"/>
                <w:kern w:val="0"/>
                <w:sz w:val="18"/>
                <w:szCs w:val="18"/>
              </w:rPr>
              <w:t>我单位现有干部职工11人，在人员紧缺的情况下，仍派出2名同志担任驻村工作队第一支书和工作队员，圆满地完成了各项工作，保障了人员支出和单位正常运转。</w:t>
            </w:r>
          </w:p>
        </w:tc>
      </w:tr>
      <w:tr>
        <w:tblPrEx>
          <w:tblLayout w:type="fixed"/>
          <w:tblCellMar>
            <w:top w:w="0" w:type="dxa"/>
            <w:left w:w="108" w:type="dxa"/>
            <w:bottom w:w="0" w:type="dxa"/>
            <w:right w:w="108" w:type="dxa"/>
          </w:tblCellMar>
        </w:tblPrEx>
        <w:trPr>
          <w:trHeight w:val="780" w:hRule="atLeast"/>
        </w:trPr>
        <w:tc>
          <w:tcPr>
            <w:tcW w:w="760" w:type="dxa"/>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目标2、加强湿地保护。开展好日常巡护管理工作，充分发挥部门联动机制，积极联合相关部门开展各项保护行动；</w:t>
            </w:r>
          </w:p>
        </w:tc>
        <w:tc>
          <w:tcPr>
            <w:tcW w:w="4260" w:type="dxa"/>
            <w:gridSpan w:val="4"/>
            <w:tcBorders>
              <w:top w:val="single" w:color="auto" w:sz="8" w:space="0"/>
              <w:left w:val="nil"/>
              <w:bottom w:val="single" w:color="auto" w:sz="8" w:space="0"/>
              <w:right w:val="single" w:color="000000" w:sz="8" w:space="0"/>
            </w:tcBorders>
            <w:shd w:val="clear" w:color="000000" w:fill="FFFFFF"/>
            <w:vAlign w:val="center"/>
          </w:tcPr>
          <w:p>
            <w:pPr>
              <w:widowControl/>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组织业务骨干分三批次赴长沙、常德、张家界参加全省湿地保护工作业务培训，提升了业务能力。 </w:t>
            </w:r>
          </w:p>
        </w:tc>
      </w:tr>
      <w:tr>
        <w:tblPrEx>
          <w:tblLayout w:type="fixed"/>
          <w:tblCellMar>
            <w:top w:w="0" w:type="dxa"/>
            <w:left w:w="108" w:type="dxa"/>
            <w:bottom w:w="0" w:type="dxa"/>
            <w:right w:w="108" w:type="dxa"/>
          </w:tblCellMar>
        </w:tblPrEx>
        <w:trPr>
          <w:trHeight w:val="3285" w:hRule="atLeast"/>
        </w:trPr>
        <w:tc>
          <w:tcPr>
            <w:tcW w:w="760" w:type="dxa"/>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目标3：进一步强化湿地监测能力建设，根据湿地生态监测的需要合理添置一批监测设备。做好各类监测数据采集工作, 编制形成监测成果，建立好监测档案。</w:t>
            </w:r>
          </w:p>
        </w:tc>
        <w:tc>
          <w:tcPr>
            <w:tcW w:w="4260" w:type="dxa"/>
            <w:gridSpan w:val="4"/>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1、根据湿地公园生境特点，合理布局，实施湿地公园动态监测机制，分别在月湖的沙背甸、霞灯、双牌大坝下游和日湖的上梧江、塘底、江村、理家坪等七个点安装了监控设备，通过手机可及时监测公园实况。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2、对中华秋沙鸭保护站的监测设备进行了维修维护，在秋沙鸭栖息地安装了警示牌和围栏，对河道残留的渔网、鱼笼进行了清理，安排了专人两班倒全天二十四小时值班，实行七天不休假巡护制度，全力守护千年鸟道安全、畅通，为越冬候鸟提供一个安全、舒适的栖息环境。 </w:t>
            </w:r>
          </w:p>
        </w:tc>
      </w:tr>
      <w:tr>
        <w:tblPrEx>
          <w:tblLayout w:type="fixed"/>
          <w:tblCellMar>
            <w:top w:w="0" w:type="dxa"/>
            <w:left w:w="108" w:type="dxa"/>
            <w:bottom w:w="0" w:type="dxa"/>
            <w:right w:w="108" w:type="dxa"/>
          </w:tblCellMar>
        </w:tblPrEx>
        <w:trPr>
          <w:trHeight w:val="4410" w:hRule="atLeast"/>
        </w:trPr>
        <w:tc>
          <w:tcPr>
            <w:tcW w:w="760" w:type="dxa"/>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目标4：进一步加大湿地科普宣教，扩大日月湖国家湿地公园的知名度和影响力，推动湿地工作再上一个新的台阶。完善丰富宣传教育活动，有计划做好世界湿地日、爱鸟周、野生动植物保护日等活动。开展保护意识宣传教育工作，多维宣传管理法规——《中华人民共和国湿地保护法》、《中华人民共和国长江保护法》、《湖南省湿地保护条例》和《湖南省野生动植物资源保护条例》，让环保理念和法律常识宣传深入人心。</w:t>
            </w:r>
          </w:p>
        </w:tc>
        <w:tc>
          <w:tcPr>
            <w:tcW w:w="4260" w:type="dxa"/>
            <w:gridSpan w:val="4"/>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1、利用世界湿地日、爱鸟周、科技周、生态日在滨江广场、双牌大市场、乡镇集市向广大市民宣传《中华人民共和国湿地保护法》和《野生动物保护法》等政策法规，提高群众的环保意识、爱鸟护鸟意识。 </w:t>
            </w:r>
            <w:r>
              <w:rPr>
                <w:rFonts w:ascii="宋体" w:hAnsi="宋体" w:eastAsia="宋体" w:cs="宋体"/>
                <w:color w:val="000000"/>
                <w:kern w:val="0"/>
                <w:sz w:val="18"/>
                <w:szCs w:val="18"/>
              </w:rPr>
              <w:br w:type="page"/>
            </w:r>
            <w:r>
              <w:rPr>
                <w:rFonts w:ascii="宋体" w:hAnsi="宋体" w:eastAsia="宋体" w:cs="宋体"/>
                <w:color w:val="000000"/>
                <w:kern w:val="0"/>
                <w:sz w:val="18"/>
                <w:szCs w:val="18"/>
              </w:rPr>
              <w:t>2、沿江路宣传牌因年久失修，模糊不清，现已焕然一新，方便市民了解湿地知识。</w:t>
            </w:r>
          </w:p>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ascii="宋体" w:hAnsi="宋体" w:eastAsia="宋体" w:cs="宋体"/>
                <w:color w:val="000000"/>
                <w:kern w:val="0"/>
                <w:sz w:val="18"/>
                <w:szCs w:val="18"/>
              </w:rPr>
              <w:br w:type="page"/>
            </w:r>
            <w:r>
              <w:rPr>
                <w:rFonts w:ascii="宋体" w:hAnsi="宋体" w:eastAsia="宋体" w:cs="宋体"/>
                <w:color w:val="000000"/>
                <w:kern w:val="0"/>
                <w:sz w:val="18"/>
                <w:szCs w:val="18"/>
              </w:rPr>
              <w:t>3、向省文旅厅递交了《花千谷•月湖4A级景区申报书》，并在花千谷景区新修建了湿地科普馆，进一步加强了湿地科普宣传，花千谷•月湖4A级景区验收已顺利通过。</w:t>
            </w:r>
          </w:p>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ascii="宋体" w:hAnsi="宋体" w:eastAsia="宋体" w:cs="宋体"/>
                <w:color w:val="000000"/>
                <w:kern w:val="0"/>
                <w:sz w:val="18"/>
                <w:szCs w:val="18"/>
              </w:rPr>
              <w:br w:type="page"/>
            </w:r>
            <w:r>
              <w:rPr>
                <w:rFonts w:ascii="宋体" w:hAnsi="宋体" w:eastAsia="宋体" w:cs="宋体"/>
                <w:color w:val="000000"/>
                <w:kern w:val="0"/>
                <w:sz w:val="18"/>
                <w:szCs w:val="18"/>
              </w:rPr>
              <w:t>4、湖南新闻联播报道《中华秋沙鸭连续11年到永州双牌日月湖国家湿地公园越冬》，湖南日报记者专题报道日月湖湿地公园中华秋沙鸭越冬栖息情况，新华社报道《中华秋沙鸭“打卡”日月湖国家湿地公园》。</w:t>
            </w:r>
          </w:p>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ascii="宋体" w:hAnsi="宋体" w:eastAsia="宋体" w:cs="宋体"/>
                <w:color w:val="000000"/>
                <w:kern w:val="0"/>
                <w:sz w:val="18"/>
                <w:szCs w:val="18"/>
              </w:rPr>
              <w:br w:type="page"/>
            </w:r>
            <w:r>
              <w:rPr>
                <w:rFonts w:ascii="宋体" w:hAnsi="宋体" w:eastAsia="宋体" w:cs="宋体"/>
                <w:color w:val="000000"/>
                <w:kern w:val="0"/>
                <w:sz w:val="18"/>
                <w:szCs w:val="18"/>
              </w:rPr>
              <w:t xml:space="preserve">5、购买了3台固定式观鸟望远镜和3台手持高倍望远镜，方便了市民和游客朋友近距离观鸟。 </w:t>
            </w:r>
            <w:r>
              <w:rPr>
                <w:rFonts w:ascii="宋体" w:hAnsi="宋体" w:eastAsia="宋体" w:cs="宋体"/>
                <w:color w:val="000000"/>
                <w:kern w:val="0"/>
                <w:sz w:val="18"/>
                <w:szCs w:val="18"/>
              </w:rPr>
              <w:br w:type="page"/>
            </w:r>
          </w:p>
        </w:tc>
      </w:tr>
      <w:tr>
        <w:tblPrEx>
          <w:tblLayout w:type="fixed"/>
          <w:tblCellMar>
            <w:top w:w="0" w:type="dxa"/>
            <w:left w:w="108" w:type="dxa"/>
            <w:bottom w:w="0" w:type="dxa"/>
            <w:right w:w="108" w:type="dxa"/>
          </w:tblCellMar>
        </w:tblPrEx>
        <w:trPr>
          <w:trHeight w:val="3195" w:hRule="atLeast"/>
        </w:trPr>
        <w:tc>
          <w:tcPr>
            <w:tcW w:w="760" w:type="dxa"/>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51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18"/>
                <w:szCs w:val="18"/>
              </w:rPr>
            </w:pPr>
            <w:r>
              <w:rPr>
                <w:rFonts w:ascii="宋体" w:hAnsi="宋体" w:eastAsia="宋体" w:cs="宋体"/>
                <w:color w:val="000000"/>
                <w:kern w:val="0"/>
                <w:sz w:val="18"/>
                <w:szCs w:val="18"/>
              </w:rPr>
              <w:t>目标5：完成中心任务以及上级各部门交办的其他工作。按照县委、县政府安排，今年我中心继续联系上梧江乡新福禄村，在经费严重不足的情况下，安排两名乡村振兴工作人员，全面完成县委布置的乡村振兴任务。</w:t>
            </w:r>
          </w:p>
        </w:tc>
        <w:tc>
          <w:tcPr>
            <w:tcW w:w="4260" w:type="dxa"/>
            <w:gridSpan w:val="4"/>
            <w:tcBorders>
              <w:top w:val="single" w:color="auto" w:sz="8" w:space="0"/>
              <w:left w:val="nil"/>
              <w:bottom w:val="single" w:color="auto" w:sz="8" w:space="0"/>
              <w:right w:val="single" w:color="000000" w:sz="8" w:space="0"/>
            </w:tcBorders>
            <w:shd w:val="clear" w:color="000000" w:fill="FFFFFF"/>
            <w:vAlign w:val="center"/>
          </w:tcPr>
          <w:p>
            <w:pPr>
              <w:widowControl/>
              <w:spacing w:after="240"/>
              <w:rPr>
                <w:rFonts w:hint="default" w:ascii="宋体" w:hAnsi="宋体" w:eastAsia="宋体" w:cs="宋体"/>
                <w:color w:val="000000"/>
                <w:kern w:val="0"/>
                <w:sz w:val="18"/>
                <w:szCs w:val="18"/>
              </w:rPr>
            </w:pPr>
            <w:r>
              <w:rPr>
                <w:rFonts w:ascii="宋体" w:hAnsi="宋体" w:eastAsia="宋体" w:cs="宋体"/>
                <w:color w:val="000000"/>
                <w:kern w:val="0"/>
                <w:sz w:val="18"/>
                <w:szCs w:val="18"/>
              </w:rPr>
              <w:t xml:space="preserve">1、国际慢城创建工作：2023年9月，泷泊国际慢城指挥部派代表参加了在南京召开的中国国际慢城技术协调会，据中国国际慢联总部反馈消息，泷泊国际慢城申报条件排在前两位，2024年有望成功摘牌。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2、乡村振兴工作：我单位现有干部职工11人，在人员紧缺的情况下，仍派出2名同志担任驻村工作队第一支书和工作队员，圆满地完成了乡村振兴驻村工作。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3、创文创卫工作：用了不到一个月的时间对责任小区进行整改，从被约谈到上红榜，实现了责任区环境大转变。 </w:t>
            </w: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t>4、圆满完成县委政府交办的其他中心工作。</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一级指标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二级指标</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三级指标</w:t>
            </w:r>
          </w:p>
        </w:tc>
        <w:tc>
          <w:tcPr>
            <w:tcW w:w="1960" w:type="dxa"/>
            <w:gridSpan w:val="2"/>
            <w:tcBorders>
              <w:top w:val="nil"/>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年度指标值</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实际完成值</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分值</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得分</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偏差原因分析及改进措施</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效</w:t>
            </w:r>
          </w:p>
        </w:tc>
        <w:tc>
          <w:tcPr>
            <w:tcW w:w="1080"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　产出指标(50分)</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数量指标</w:t>
            </w:r>
          </w:p>
        </w:tc>
        <w:tc>
          <w:tcPr>
            <w:tcW w:w="100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巡查监测次数 》24次  </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 》24次  </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1140" w:type="dxa"/>
            <w:tcBorders>
              <w:top w:val="nil"/>
              <w:left w:val="nil"/>
              <w:bottom w:val="single" w:color="auto" w:sz="8" w:space="0"/>
              <w:right w:val="single" w:color="auto"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指</w:t>
            </w:r>
          </w:p>
        </w:tc>
        <w:tc>
          <w:tcPr>
            <w:tcW w:w="1080" w:type="dxa"/>
            <w:vMerge w:val="continue"/>
            <w:tcBorders>
              <w:top w:val="nil"/>
              <w:left w:val="single" w:color="auto" w:sz="8"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数量指标</w:t>
            </w:r>
          </w:p>
        </w:tc>
        <w:tc>
          <w:tcPr>
            <w:tcW w:w="100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湿地知识宣传次数 》4次</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   》4次</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1140" w:type="dxa"/>
            <w:tcBorders>
              <w:top w:val="nil"/>
              <w:left w:val="nil"/>
              <w:bottom w:val="single" w:color="auto" w:sz="8" w:space="0"/>
              <w:right w:val="single" w:color="auto"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r>
      <w:tr>
        <w:tblPrEx>
          <w:tblLayout w:type="fixed"/>
          <w:tblCellMar>
            <w:top w:w="0" w:type="dxa"/>
            <w:left w:w="108" w:type="dxa"/>
            <w:bottom w:w="0" w:type="dxa"/>
            <w:right w:w="108" w:type="dxa"/>
          </w:tblCellMar>
        </w:tblPrEx>
        <w:trPr>
          <w:trHeight w:val="20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标</w:t>
            </w:r>
          </w:p>
        </w:tc>
        <w:tc>
          <w:tcPr>
            <w:tcW w:w="1080" w:type="dxa"/>
            <w:vMerge w:val="continue"/>
            <w:tcBorders>
              <w:top w:val="nil"/>
              <w:left w:val="single" w:color="auto" w:sz="8"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质量指标</w:t>
            </w:r>
          </w:p>
        </w:tc>
        <w:tc>
          <w:tcPr>
            <w:tcW w:w="100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工作任务完成率》95%,保证工资发放和日常运转，完成湿地各项管理工作。</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完成</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9</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vMerge w:val="continue"/>
            <w:tcBorders>
              <w:top w:val="nil"/>
              <w:left w:val="single" w:color="auto" w:sz="8"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成本指标</w:t>
            </w:r>
          </w:p>
        </w:tc>
        <w:tc>
          <w:tcPr>
            <w:tcW w:w="100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全年财政拨款支出控制在预算之内</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完成</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7</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vMerge w:val="continue"/>
            <w:tcBorders>
              <w:top w:val="nil"/>
              <w:left w:val="single" w:color="auto" w:sz="8"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时效指标</w:t>
            </w:r>
          </w:p>
        </w:tc>
        <w:tc>
          <w:tcPr>
            <w:tcW w:w="100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确保按时间节点完成目标任务</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完成</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885" w:hRule="atLeast"/>
        </w:trPr>
        <w:tc>
          <w:tcPr>
            <w:tcW w:w="76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效益指标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经济效益指标</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整体支出不以盈利为目的</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　整体支出不以盈利为目的</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030" w:hRule="atLeast"/>
        </w:trPr>
        <w:tc>
          <w:tcPr>
            <w:tcW w:w="76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（40分）</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Cs w:val="21"/>
              </w:rPr>
            </w:pPr>
            <w:r>
              <w:rPr>
                <w:rFonts w:ascii="宋体" w:hAnsi="宋体" w:eastAsia="宋体" w:cs="宋体"/>
                <w:color w:val="000000"/>
                <w:kern w:val="0"/>
                <w:szCs w:val="21"/>
              </w:rPr>
              <w:t>社会效益指标</w:t>
            </w:r>
          </w:p>
        </w:tc>
        <w:tc>
          <w:tcPr>
            <w:tcW w:w="1000" w:type="dxa"/>
            <w:tcBorders>
              <w:top w:val="nil"/>
              <w:left w:val="nil"/>
              <w:bottom w:val="nil"/>
              <w:right w:val="nil"/>
            </w:tcBorders>
            <w:shd w:val="clear" w:color="auto" w:fill="auto"/>
            <w:vAlign w:val="center"/>
          </w:tcPr>
          <w:p>
            <w:pPr>
              <w:widowControl/>
              <w:jc w:val="left"/>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提高双牌县的知名度，优化投资环境，提高社区 群众生态环境保护与湿地保护意识，构建双牌县和谐社会和建设社会主义新农村</w:t>
            </w:r>
          </w:p>
        </w:tc>
        <w:tc>
          <w:tcPr>
            <w:tcW w:w="196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完成</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9.44</w:t>
            </w:r>
          </w:p>
        </w:tc>
        <w:tc>
          <w:tcPr>
            <w:tcW w:w="1140" w:type="dxa"/>
            <w:tcBorders>
              <w:top w:val="nil"/>
              <w:left w:val="nil"/>
              <w:bottom w:val="single" w:color="auto" w:sz="8" w:space="0"/>
              <w:right w:val="single" w:color="auto" w:sz="12" w:space="0"/>
            </w:tcBorders>
            <w:shd w:val="clear" w:color="auto" w:fill="auto"/>
            <w:vAlign w:val="center"/>
          </w:tcPr>
          <w:p>
            <w:pPr>
              <w:widowControl/>
              <w:jc w:val="left"/>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805" w:hRule="atLeast"/>
        </w:trPr>
        <w:tc>
          <w:tcPr>
            <w:tcW w:w="76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生态效益指标</w:t>
            </w:r>
          </w:p>
        </w:tc>
        <w:tc>
          <w:tcPr>
            <w:tcW w:w="1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湿地生态环境改善，生态得到保护，让日月湖水更绿、河更淸、鸟还林、天更蓝，绿水青山变成金山银山</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完成</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8</w:t>
            </w:r>
          </w:p>
        </w:tc>
        <w:tc>
          <w:tcPr>
            <w:tcW w:w="1140" w:type="dxa"/>
            <w:tcBorders>
              <w:top w:val="nil"/>
              <w:left w:val="nil"/>
              <w:bottom w:val="single" w:color="auto" w:sz="8" w:space="0"/>
              <w:right w:val="single" w:color="auto" w:sz="12" w:space="0"/>
            </w:tcBorders>
            <w:shd w:val="clear" w:color="auto" w:fill="auto"/>
            <w:vAlign w:val="center"/>
          </w:tcPr>
          <w:p>
            <w:pPr>
              <w:widowControl/>
              <w:jc w:val="left"/>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1035" w:hRule="atLeast"/>
        </w:trPr>
        <w:tc>
          <w:tcPr>
            <w:tcW w:w="76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社会公众或服务对象满意度</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湿地公园内群众满意度达到95%以上</w:t>
            </w:r>
          </w:p>
        </w:tc>
        <w:tc>
          <w:tcPr>
            <w:tcW w:w="19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占总指标10%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w:t>
            </w:r>
            <w:r>
              <w:rPr>
                <w:rFonts w:cs="宋体" w:asciiTheme="minorEastAsia" w:hAnsiTheme="minorEastAsia" w:eastAsiaTheme="minorEastAsia"/>
                <w:color w:val="000000"/>
                <w:kern w:val="0"/>
                <w:sz w:val="18"/>
                <w:szCs w:val="18"/>
              </w:rPr>
              <w:t>完成</w:t>
            </w: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8</w:t>
            </w:r>
          </w:p>
        </w:tc>
        <w:tc>
          <w:tcPr>
            <w:tcW w:w="1140" w:type="dxa"/>
            <w:tcBorders>
              <w:top w:val="nil"/>
              <w:left w:val="nil"/>
              <w:bottom w:val="single" w:color="auto" w:sz="8" w:space="0"/>
              <w:right w:val="single" w:color="auto" w:sz="12" w:space="0"/>
            </w:tcBorders>
            <w:shd w:val="clear" w:color="auto" w:fill="auto"/>
            <w:vAlign w:val="center"/>
          </w:tcPr>
          <w:p>
            <w:pPr>
              <w:widowControl/>
              <w:jc w:val="center"/>
              <w:rPr>
                <w:rFonts w:hint="default" w:ascii="仿宋_GB2312" w:hAnsi="宋体" w:eastAsia="仿宋_GB2312" w:cs="宋体"/>
                <w:color w:val="000000"/>
                <w:kern w:val="0"/>
                <w:szCs w:val="21"/>
              </w:rPr>
            </w:pP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885" w:hRule="atLeast"/>
        </w:trPr>
        <w:tc>
          <w:tcPr>
            <w:tcW w:w="6960" w:type="dxa"/>
            <w:gridSpan w:val="7"/>
            <w:tcBorders>
              <w:top w:val="single" w:color="auto" w:sz="8" w:space="0"/>
              <w:left w:val="single" w:color="auto" w:sz="12" w:space="0"/>
              <w:bottom w:val="single" w:color="auto" w:sz="12"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总分</w:t>
            </w:r>
          </w:p>
        </w:tc>
        <w:tc>
          <w:tcPr>
            <w:tcW w:w="1060" w:type="dxa"/>
            <w:tcBorders>
              <w:top w:val="nil"/>
              <w:left w:val="nil"/>
              <w:bottom w:val="single" w:color="auto" w:sz="12"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100</w:t>
            </w:r>
          </w:p>
        </w:tc>
        <w:tc>
          <w:tcPr>
            <w:tcW w:w="980" w:type="dxa"/>
            <w:tcBorders>
              <w:top w:val="nil"/>
              <w:left w:val="nil"/>
              <w:bottom w:val="single" w:color="auto" w:sz="12"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91</w:t>
            </w:r>
          </w:p>
        </w:tc>
        <w:tc>
          <w:tcPr>
            <w:tcW w:w="1140" w:type="dxa"/>
            <w:tcBorders>
              <w:top w:val="nil"/>
              <w:left w:val="nil"/>
              <w:bottom w:val="single" w:color="auto" w:sz="12" w:space="0"/>
              <w:right w:val="single" w:color="auto"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r>
      <w:tr>
        <w:tblPrEx>
          <w:tblLayout w:type="fixed"/>
          <w:tblCellMar>
            <w:top w:w="0" w:type="dxa"/>
            <w:left w:w="108" w:type="dxa"/>
            <w:bottom w:w="0" w:type="dxa"/>
            <w:right w:w="108" w:type="dxa"/>
          </w:tblCellMar>
        </w:tblPrEx>
        <w:trPr>
          <w:trHeight w:val="885" w:hRule="atLeast"/>
        </w:trPr>
        <w:tc>
          <w:tcPr>
            <w:tcW w:w="76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00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96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00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06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98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c>
          <w:tcPr>
            <w:tcW w:w="1140" w:type="dxa"/>
            <w:tcBorders>
              <w:top w:val="nil"/>
              <w:left w:val="nil"/>
              <w:bottom w:val="nil"/>
              <w:right w:val="nil"/>
            </w:tcBorders>
            <w:shd w:val="clear" w:color="auto" w:fill="auto"/>
            <w:vAlign w:val="center"/>
          </w:tcPr>
          <w:p>
            <w:pPr>
              <w:widowControl/>
              <w:jc w:val="left"/>
              <w:rPr>
                <w:rFonts w:hint="default"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885" w:hRule="atLeast"/>
        </w:trPr>
        <w:tc>
          <w:tcPr>
            <w:tcW w:w="10140" w:type="dxa"/>
            <w:gridSpan w:val="10"/>
            <w:tcBorders>
              <w:top w:val="nil"/>
              <w:left w:val="nil"/>
              <w:bottom w:val="nil"/>
              <w:right w:val="nil"/>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填表人：刘苏玲</w:t>
            </w:r>
            <w:r>
              <w:rPr>
                <w:rFonts w:cs="Times New Roman" w:asciiTheme="minorEastAsia" w:hAnsiTheme="minorEastAsia" w:eastAsiaTheme="minorEastAsia"/>
                <w:color w:val="000000"/>
                <w:kern w:val="0"/>
                <w:sz w:val="22"/>
                <w:szCs w:val="22"/>
              </w:rPr>
              <w:t xml:space="preserve">   </w:t>
            </w:r>
            <w:r>
              <w:rPr>
                <w:rFonts w:cs="宋体" w:asciiTheme="minorEastAsia" w:hAnsiTheme="minorEastAsia" w:eastAsiaTheme="minorEastAsia"/>
                <w:color w:val="000000"/>
                <w:kern w:val="0"/>
                <w:sz w:val="22"/>
                <w:szCs w:val="22"/>
              </w:rPr>
              <w:t>填报日期：</w:t>
            </w:r>
            <w:r>
              <w:rPr>
                <w:rFonts w:cs="Times New Roman" w:asciiTheme="minorEastAsia" w:hAnsiTheme="minorEastAsia" w:eastAsiaTheme="minorEastAsia"/>
                <w:color w:val="000000"/>
                <w:kern w:val="0"/>
                <w:sz w:val="22"/>
                <w:szCs w:val="22"/>
              </w:rPr>
              <w:t xml:space="preserve">2024.4.12  </w:t>
            </w:r>
            <w:r>
              <w:rPr>
                <w:rFonts w:cs="宋体" w:asciiTheme="minorEastAsia" w:hAnsiTheme="minorEastAsia" w:eastAsiaTheme="minorEastAsia"/>
                <w:color w:val="000000"/>
                <w:kern w:val="0"/>
                <w:sz w:val="22"/>
                <w:szCs w:val="22"/>
              </w:rPr>
              <w:t>联系电话：</w:t>
            </w:r>
            <w:r>
              <w:rPr>
                <w:rFonts w:cs="Times New Roman" w:asciiTheme="minorEastAsia" w:hAnsiTheme="minorEastAsia" w:eastAsiaTheme="minorEastAsia"/>
                <w:color w:val="000000"/>
                <w:kern w:val="0"/>
                <w:sz w:val="22"/>
                <w:szCs w:val="22"/>
              </w:rPr>
              <w:t xml:space="preserve">7721608   </w:t>
            </w:r>
            <w:r>
              <w:rPr>
                <w:rFonts w:cs="宋体" w:asciiTheme="minorEastAsia" w:hAnsiTheme="minorEastAsia" w:eastAsiaTheme="minorEastAsia"/>
                <w:color w:val="000000"/>
                <w:kern w:val="0"/>
                <w:sz w:val="22"/>
                <w:szCs w:val="22"/>
              </w:rPr>
              <w:t>单位负责人签字：</w:t>
            </w:r>
            <w:r>
              <w:rPr>
                <w:rFonts w:cs="宋体" w:asciiTheme="minorEastAsia" w:hAnsiTheme="minorEastAsia" w:eastAsiaTheme="minorEastAsia"/>
                <w:color w:val="000000"/>
                <w:kern w:val="0"/>
                <w:szCs w:val="21"/>
              </w:rPr>
              <w:t>刘兴国</w:t>
            </w:r>
          </w:p>
        </w:tc>
      </w:tr>
    </w:tbl>
    <w:p>
      <w:pPr>
        <w:pStyle w:val="2"/>
        <w:ind w:firstLine="280"/>
        <w:rPr>
          <w:rFonts w:hint="default" w:eastAsia="黑体"/>
        </w:rPr>
      </w:pPr>
    </w:p>
    <w:p>
      <w:pPr>
        <w:pStyle w:val="2"/>
        <w:ind w:firstLine="280"/>
        <w:rPr>
          <w:rFonts w:hint="default" w:eastAsia="黑体"/>
        </w:rPr>
      </w:pPr>
    </w:p>
    <w:p>
      <w:pPr>
        <w:pStyle w:val="2"/>
        <w:ind w:firstLine="280"/>
        <w:rPr>
          <w:rFonts w:hint="default" w:eastAsia="黑体"/>
        </w:rPr>
      </w:pPr>
    </w:p>
    <w:p>
      <w:pPr>
        <w:pStyle w:val="2"/>
        <w:ind w:firstLine="280"/>
        <w:rPr>
          <w:rFonts w:hint="default" w:eastAsia="黑体"/>
        </w:rPr>
      </w:pPr>
    </w:p>
    <w:p>
      <w:pPr>
        <w:widowControl/>
        <w:spacing w:line="3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质量评估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inorEastAsia" w:hAnsiTheme="minorEastAsia" w:eastAsiaTheme="min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asciiTheme="minorEastAsia" w:hAnsiTheme="minorEastAsia" w:eastAsiaTheme="minorEastAsia" w:cstheme="majorEastAsia"/>
                <w:color w:val="000000"/>
                <w:kern w:val="0"/>
                <w:sz w:val="24"/>
              </w:rPr>
            </w:pPr>
            <w:r>
              <w:rPr>
                <w:rFonts w:asciiTheme="minorEastAsia" w:hAnsiTheme="minorEastAsia" w:eastAsiaTheme="minorEastAsia"/>
                <w:kern w:val="0"/>
              </w:rPr>
              <w:t xml:space="preserve">     </w:t>
            </w:r>
            <w:r>
              <w:rPr>
                <w:rFonts w:asciiTheme="minorEastAsia" w:hAnsiTheme="minorEastAsia" w:eastAsiaTheme="minorEastAsia" w:cstheme="majorEastAsia"/>
                <w:color w:val="000000"/>
                <w:kern w:val="0"/>
                <w:sz w:val="24"/>
              </w:rPr>
              <w:t>我单位2019年通过了省级、国家级验收。林湿发【2019】119号国家林业和草原局关于2019年试点国家湿地公园验收情况的通知，公布了这一验收结果，通知文件要求，验收通过的国家湿地公园应当继续坚持“全面保护、科学修复、合理利用、持续发展”的原则，大力开展湿地保护宣传教育，提高全社会湿地保护意识；加强科研监测工作，防止重申报轻建设。</w:t>
            </w:r>
          </w:p>
          <w:p>
            <w:pPr>
              <w:widowControl/>
              <w:spacing w:line="300" w:lineRule="exact"/>
              <w:jc w:val="left"/>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 xml:space="preserve">    林湿发【2017】150号《国家林业局关于印发《国家湿地公园管理办法》的通知》第二十条，因管理不善导致国家湿地公园条件丧失的，或者对存在重大问题拒不整改或者整改不符合要求的，国家林业局撤销其国家湿地公园的命名，并向社会公布。</w:t>
            </w:r>
          </w:p>
          <w:p>
            <w:pPr>
              <w:widowControl/>
              <w:spacing w:line="300" w:lineRule="exact"/>
              <w:ind w:firstLine="480" w:firstLineChars="200"/>
              <w:jc w:val="left"/>
              <w:rPr>
                <w:rFonts w:hint="default" w:asciiTheme="minorEastAsia" w:hAnsiTheme="minorEastAsia" w:eastAsiaTheme="minorEastAsia" w:cstheme="minorEastAsia"/>
                <w:sz w:val="24"/>
              </w:rPr>
            </w:pPr>
            <w:r>
              <w:rPr>
                <w:rFonts w:asciiTheme="minorEastAsia" w:hAnsiTheme="minorEastAsia" w:eastAsiaTheme="minorEastAsia" w:cstheme="majorEastAsia"/>
                <w:color w:val="000000"/>
                <w:kern w:val="0"/>
                <w:sz w:val="24"/>
              </w:rPr>
              <w:t>为了规范日月湖湿地公园管理，充分发挥日月湖湿地公园在生态文明建设和提供生态服务功能中的重要作用，推进湿地公园建设与发展，提升湿地公园能力建设和管理水平，确保双牌日月湖国家湿地公园达到质量管理评估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质量评估经费于2023年全部到位。项目资金到位比例100%，拨付足额、及时，截至2023年12月31日，县财政下达日月湖国家湿地公园管理中心质量评估经费6.5万元，已使用5.683164万元。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asciiTheme="minorEastAsia" w:hAnsiTheme="minorEastAsia" w:eastAsiaTheme="minorEastAsia" w:cstheme="majorEastAsia"/>
                <w:color w:val="000000"/>
                <w:kern w:val="0"/>
                <w:sz w:val="24"/>
              </w:rPr>
            </w:pPr>
          </w:p>
          <w:p>
            <w:pPr>
              <w:widowControl/>
              <w:spacing w:line="300" w:lineRule="exact"/>
              <w:jc w:val="left"/>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目标已完成，本单位获2023年湖南省湿地公园质量管理评估良好单位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inorEastAsia" w:hAnsiTheme="minorEastAsia" w:eastAsiaTheme="minorEastAsia" w:cstheme="majorEastAsia"/>
                <w:color w:val="000000"/>
                <w:kern w:val="0"/>
                <w:sz w:val="24"/>
              </w:rPr>
            </w:pPr>
          </w:p>
          <w:p>
            <w:pPr>
              <w:widowControl/>
              <w:spacing w:line="300" w:lineRule="exact"/>
              <w:jc w:val="center"/>
              <w:rPr>
                <w:rFonts w:hint="default" w:asciiTheme="minorEastAsia" w:hAnsiTheme="minorEastAsia" w:eastAsiaTheme="minorEastAsia" w:cstheme="majorEastAsia"/>
                <w:color w:val="000000"/>
                <w:kern w:val="0"/>
                <w:sz w:val="24"/>
              </w:rPr>
            </w:pPr>
          </w:p>
          <w:p>
            <w:pPr>
              <w:widowControl/>
              <w:spacing w:line="300" w:lineRule="exact"/>
              <w:jc w:val="center"/>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无</w:t>
            </w:r>
          </w:p>
          <w:p>
            <w:pPr>
              <w:widowControl/>
              <w:spacing w:line="300" w:lineRule="exact"/>
              <w:jc w:val="center"/>
              <w:rPr>
                <w:rFonts w:hint="default" w:asciiTheme="minorEastAsia" w:hAnsiTheme="minorEastAsia" w:eastAsiaTheme="minorEastAsia" w:cstheme="majorEastAsia"/>
                <w:color w:val="000000"/>
                <w:kern w:val="0"/>
                <w:sz w:val="24"/>
              </w:rPr>
            </w:pPr>
          </w:p>
          <w:p>
            <w:pPr>
              <w:widowControl/>
              <w:spacing w:line="300" w:lineRule="exact"/>
              <w:jc w:val="center"/>
              <w:rPr>
                <w:rFonts w:hint="default" w:asciiTheme="minorEastAsia" w:hAnsiTheme="minorEastAsia" w:eastAsiaTheme="min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6"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6"/>
              <w:widowControl/>
              <w:spacing w:beforeAutospacing="0" w:afterAutospacing="0" w:line="570" w:lineRule="atLeast"/>
              <w:ind w:firstLine="640"/>
              <w:jc w:val="both"/>
              <w:rPr>
                <w:rFonts w:asciiTheme="minorEastAsia" w:hAnsiTheme="minorEastAsia" w:eastAsiaTheme="minorEastAsia" w:cstheme="majorEastAsia"/>
                <w:color w:val="000000"/>
              </w:rPr>
            </w:pPr>
            <w:r>
              <w:rPr>
                <w:rFonts w:hint="eastAsia" w:asciiTheme="minorEastAsia" w:hAnsiTheme="minorEastAsia" w:eastAsiaTheme="minorEastAsia" w:cstheme="majorEastAsia"/>
                <w:color w:val="000000"/>
              </w:rPr>
              <w:t>1.加强科学合理制定绩效目标及考核体系，充分发挥绩效工作效用。</w:t>
            </w:r>
          </w:p>
          <w:p>
            <w:pPr>
              <w:widowControl/>
              <w:spacing w:line="570" w:lineRule="atLeast"/>
              <w:ind w:firstLine="640"/>
              <w:rPr>
                <w:rFonts w:hint="default" w:asciiTheme="minorEastAsia" w:hAnsiTheme="minorEastAsia" w:eastAsiaTheme="minorEastAsia" w:cstheme="majorEastAsia"/>
                <w:color w:val="000000"/>
                <w:kern w:val="0"/>
                <w:sz w:val="24"/>
              </w:rPr>
            </w:pPr>
            <w:r>
              <w:rPr>
                <w:rFonts w:asciiTheme="minorEastAsia" w:hAnsiTheme="minorEastAsia" w:eastAsiaTheme="minorEastAsia" w:cstheme="majorEastAsia"/>
                <w:color w:val="000000"/>
                <w:kern w:val="0"/>
                <w:sz w:val="24"/>
              </w:rPr>
              <w:t>2.进一下抓好支出进度管理工作，加快财政支出进度，发挥财政资金效益，使财政资金能够高效、高质地用于湿地工作，提高单位服务社会的能力。</w:t>
            </w:r>
          </w:p>
          <w:p>
            <w:pPr>
              <w:jc w:val="center"/>
              <w:rPr>
                <w:rFonts w:hint="default" w:asciiTheme="minorEastAsia" w:hAnsiTheme="minorEastAsia" w:eastAsiaTheme="min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1"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ind w:firstLine="480" w:firstLineChars="2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Theme="minorEastAsia" w:hAnsiTheme="minorEastAsia" w:eastAsiaTheme="minorEastAsia" w:cstheme="minorEastAsia"/>
          <w:sz w:val="24"/>
        </w:rPr>
      </w:pP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spacing w:line="320" w:lineRule="atLeast"/>
        <w:jc w:val="left"/>
        <w:rPr>
          <w:rFonts w:hint="default" w:ascii="仿宋_GB2312" w:hAnsi="仿宋_GB2312" w:eastAsiaTheme="minorEastAsia"/>
          <w:kern w:val="0"/>
        </w:rPr>
      </w:pPr>
      <w:r>
        <w:rPr>
          <w:rFonts w:asciiTheme="minorEastAsia" w:hAnsiTheme="minorEastAsia" w:eastAsiaTheme="minorEastAsia" w:cstheme="minorEastAsia"/>
          <w:sz w:val="24"/>
        </w:rPr>
        <w:t>单位负责人签字：</w:t>
      </w:r>
      <w:r>
        <w:rPr>
          <w:rFonts w:ascii="仿宋_GB2312" w:hAnsi="仿宋_GB2312" w:eastAsiaTheme="minorEastAsia"/>
          <w:kern w:val="0"/>
        </w:rPr>
        <w:t>刘兴国</w:t>
      </w:r>
    </w:p>
    <w:p>
      <w:pPr>
        <w:spacing w:line="320" w:lineRule="atLeast"/>
        <w:jc w:val="left"/>
        <w:rPr>
          <w:rFonts w:hint="default" w:asciiTheme="minorEastAsia" w:hAnsiTheme="minorEastAsia" w:eastAsiaTheme="minorEastAsia" w:cstheme="minorEastAsia"/>
          <w:sz w:val="24"/>
        </w:rPr>
      </w:pPr>
    </w:p>
    <w:p>
      <w:pPr>
        <w:widowControl/>
        <w:spacing w:line="340" w:lineRule="exact"/>
        <w:jc w:val="left"/>
        <w:rPr>
          <w:rFonts w:hint="default" w:eastAsia="黑体"/>
          <w:color w:val="000000"/>
          <w:sz w:val="32"/>
        </w:rPr>
      </w:pP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ajorEastAsia" w:hAnsiTheme="majorEastAsia" w:eastAsiaTheme="majorEastAsia" w:cstheme="majorEastAsia"/>
                <w:color w:val="000000"/>
                <w:kern w:val="0"/>
                <w:sz w:val="24"/>
              </w:rPr>
            </w:pPr>
            <w:r>
              <w:rPr>
                <w:rFonts w:hint="default" w:asciiTheme="majorEastAsia" w:hAnsiTheme="majorEastAsia" w:eastAsiaTheme="majorEastAsia" w:cstheme="majorEastAsia"/>
                <w:color w:val="000000"/>
                <w:kern w:val="0"/>
                <w:sz w:val="24"/>
              </w:rPr>
              <w:t>2023</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月至</w:t>
            </w:r>
            <w:r>
              <w:rPr>
                <w:rFonts w:hint="default" w:asciiTheme="majorEastAsia" w:hAnsiTheme="majorEastAsia" w:eastAsiaTheme="majorEastAsia" w:cstheme="majorEastAsia"/>
                <w:color w:val="000000"/>
                <w:kern w:val="0"/>
                <w:sz w:val="24"/>
              </w:rPr>
              <w:t>2024</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月宣教租金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确保双牌日月湖国家湿地公园具备科普宣教条件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11"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asciiTheme="majorEastAsia" w:hAnsiTheme="majorEastAsia" w:eastAsiaTheme="majorEastAsia" w:cstheme="majorEastAsia"/>
                <w:color w:val="000000"/>
                <w:kern w:val="0"/>
                <w:sz w:val="24"/>
              </w:rPr>
            </w:pPr>
            <w:r>
              <w:rPr>
                <w:rFonts w:hint="default" w:asciiTheme="majorEastAsia" w:hAnsiTheme="majorEastAsia" w:eastAsiaTheme="majorEastAsia" w:cstheme="majorEastAsia"/>
                <w:color w:val="000000"/>
                <w:kern w:val="0"/>
                <w:sz w:val="24"/>
              </w:rPr>
              <w:t>2023</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月至</w:t>
            </w:r>
            <w:r>
              <w:rPr>
                <w:rFonts w:hint="default" w:asciiTheme="majorEastAsia" w:hAnsiTheme="majorEastAsia" w:eastAsiaTheme="majorEastAsia" w:cstheme="majorEastAsia"/>
                <w:color w:val="000000"/>
                <w:kern w:val="0"/>
                <w:sz w:val="24"/>
              </w:rPr>
              <w:t>2024</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月宣教租金于2023年全部到位。项目资金到位比例100%，拨付足额、及时，截至2023年12月31日，县财政下达日月湖国家湿地公园管理中心</w:t>
            </w:r>
            <w:r>
              <w:rPr>
                <w:rFonts w:hint="default" w:asciiTheme="majorEastAsia" w:hAnsiTheme="majorEastAsia" w:eastAsiaTheme="majorEastAsia" w:cstheme="majorEastAsia"/>
                <w:color w:val="000000"/>
                <w:kern w:val="0"/>
                <w:sz w:val="24"/>
              </w:rPr>
              <w:t>2023</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月至</w:t>
            </w:r>
            <w:r>
              <w:rPr>
                <w:rFonts w:hint="default" w:asciiTheme="majorEastAsia" w:hAnsiTheme="majorEastAsia" w:eastAsiaTheme="majorEastAsia" w:cstheme="majorEastAsia"/>
                <w:color w:val="000000"/>
                <w:kern w:val="0"/>
                <w:sz w:val="24"/>
              </w:rPr>
              <w:t>2024</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月宣教租金经费18.1万元，已使用17.74725万元。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目标已完成，确保双牌日月湖国家湿地公园具备科普宣教条件，湿地宣教馆已申报为省级科学技术普及基地，并已接待省市县三级领导及各组织团体参观、学习、开展各类研学活动。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8"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ind w:firstLine="720" w:firstLineChars="300"/>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6"/>
              <w:widowControl/>
              <w:spacing w:beforeAutospacing="0" w:afterAutospacing="0" w:line="570" w:lineRule="atLeast"/>
              <w:ind w:firstLine="640"/>
              <w:jc w:val="both"/>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1.加强科学合理制定绩效目标及考核体系，充分发挥绩效工作效用。</w:t>
            </w:r>
          </w:p>
          <w:p>
            <w:pPr>
              <w:widowControl/>
              <w:spacing w:line="570" w:lineRule="atLeast"/>
              <w:ind w:firstLine="640"/>
              <w:rPr>
                <w:rFonts w:hint="default" w:asciiTheme="majorEastAsia" w:hAnsiTheme="majorEastAsia" w:eastAsiaTheme="majorEastAsia" w:cstheme="majorEastAsia"/>
                <w:color w:val="000000"/>
                <w:kern w:val="0"/>
                <w:sz w:val="24"/>
              </w:rPr>
            </w:pPr>
            <w:r>
              <w:rPr>
                <w:rFonts w:hint="default" w:asciiTheme="majorEastAsia" w:hAnsiTheme="majorEastAsia" w:eastAsiaTheme="majorEastAsia" w:cstheme="majorEastAsia"/>
                <w:color w:val="000000"/>
                <w:kern w:val="0"/>
                <w:sz w:val="24"/>
              </w:rPr>
              <w:t>2.进一下抓好支出进度管理工作，加快财政支出进度，发挥财政资金效益，使财政资金能够高效、高质地用于湿地工作，提高单位服务社会的能力。</w:t>
            </w:r>
          </w:p>
          <w:p>
            <w:pPr>
              <w:jc w:val="center"/>
              <w:rPr>
                <w:rFonts w:hint="default"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p>
          <w:p>
            <w:pPr>
              <w:ind w:firstLine="720" w:firstLineChars="3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仿宋_GB2312" w:hAnsi="仿宋_GB2312" w:eastAsiaTheme="minorEastAsia"/>
          <w:kern w:val="0"/>
        </w:rPr>
      </w:pPr>
      <w:r>
        <w:rPr>
          <w:rFonts w:asciiTheme="minorEastAsia" w:hAnsiTheme="minorEastAsia" w:eastAsiaTheme="minorEastAsia" w:cstheme="minorEastAsia"/>
          <w:sz w:val="24"/>
        </w:rPr>
        <w:t>单位负责人签字：</w:t>
      </w:r>
      <w:r>
        <w:rPr>
          <w:rFonts w:ascii="仿宋_GB2312" w:hAnsi="仿宋_GB2312" w:eastAsiaTheme="minorEastAsia"/>
          <w:kern w:val="0"/>
        </w:rPr>
        <w:t>刘兴国</w:t>
      </w:r>
    </w:p>
    <w:p>
      <w:pPr>
        <w:pStyle w:val="2"/>
        <w:ind w:firstLine="320"/>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olor w:val="000000"/>
                <w:kern w:val="0"/>
              </w:rPr>
              <w:t>保护保育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ajorEastAsia" w:hAnsiTheme="majorEastAsia" w:eastAsiaTheme="majorEastAsia" w:cstheme="majorEastAsia"/>
                <w:color w:val="000000"/>
                <w:kern w:val="0"/>
                <w:sz w:val="24"/>
              </w:rPr>
              <w:t>加强巡护，加大湿地资源保护，促进人与自然和谐发展，促进湿地公园的建设和发展。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保护保育经费于2023年全部到位。项目资金到位比例100%，拨付足额、及时，截至2023年12月31日，县财政下达日月湖国家湿地公园管理中心保护保育经费4.6万元，已使用4.5465万元。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目标已完成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960" w:firstLineChars="400"/>
              <w:rPr>
                <w:rFonts w:hint="default" w:asciiTheme="majorEastAsia" w:hAnsiTheme="majorEastAsia" w:eastAsiaTheme="majorEastAsia" w:cstheme="majorEastAsia"/>
                <w:color w:val="000000"/>
                <w:kern w:val="0"/>
                <w:sz w:val="24"/>
              </w:rPr>
            </w:pPr>
            <w:r>
              <w:rPr>
                <w:rFonts w:asciiTheme="majorEastAsia" w:hAnsiTheme="majorEastAsia" w:eastAsiaTheme="majorEastAsia" w:cstheme="majorEastAsia"/>
                <w:color w:val="000000"/>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6"/>
              <w:widowControl/>
              <w:spacing w:beforeAutospacing="0" w:afterAutospacing="0" w:line="570" w:lineRule="atLeast"/>
              <w:ind w:firstLine="640"/>
              <w:jc w:val="both"/>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1.加强科学合理制定绩效目标及考核体系，充分发挥绩效工作效用。</w:t>
            </w:r>
          </w:p>
          <w:p>
            <w:pPr>
              <w:widowControl/>
              <w:spacing w:line="570" w:lineRule="atLeast"/>
              <w:ind w:firstLine="640"/>
              <w:rPr>
                <w:rFonts w:hint="default" w:asciiTheme="majorEastAsia" w:hAnsiTheme="majorEastAsia" w:eastAsiaTheme="majorEastAsia" w:cstheme="majorEastAsia"/>
                <w:color w:val="000000"/>
                <w:kern w:val="0"/>
                <w:sz w:val="24"/>
              </w:rPr>
            </w:pPr>
            <w:r>
              <w:rPr>
                <w:rFonts w:hint="default" w:asciiTheme="majorEastAsia" w:hAnsiTheme="majorEastAsia" w:eastAsiaTheme="majorEastAsia" w:cstheme="majorEastAsia"/>
                <w:color w:val="000000"/>
                <w:kern w:val="0"/>
                <w:sz w:val="24"/>
              </w:rPr>
              <w:t>2.进一下抓好支出进度管理工作，加快财政支出进度，发挥财政资金效益，使财政资金能够高效、高质地用于湿地工作，提高单位服务社会的能力。</w:t>
            </w:r>
          </w:p>
          <w:p>
            <w:pPr>
              <w:jc w:val="center"/>
              <w:rPr>
                <w:rFonts w:hint="default" w:asciiTheme="majorEastAsia" w:hAnsiTheme="majorEastAsia" w:eastAsiaTheme="majorEastAsia" w:cstheme="majorEastAsia"/>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p>
          <w:p>
            <w:pPr>
              <w:ind w:firstLine="960" w:firstLineChars="4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仿宋_GB2312" w:hAnsi="仿宋_GB2312" w:eastAsiaTheme="minorEastAsia"/>
          <w:kern w:val="0"/>
        </w:rPr>
      </w:pPr>
      <w:r>
        <w:rPr>
          <w:rFonts w:asciiTheme="minorEastAsia" w:hAnsiTheme="minorEastAsia" w:eastAsiaTheme="minorEastAsia" w:cstheme="minorEastAsia"/>
          <w:sz w:val="24"/>
        </w:rPr>
        <w:t>单位负责人签字：</w:t>
      </w:r>
      <w:r>
        <w:rPr>
          <w:rFonts w:ascii="仿宋_GB2312" w:hAnsi="仿宋_GB2312" w:eastAsiaTheme="minorEastAsia"/>
          <w:kern w:val="0"/>
        </w:rPr>
        <w:t>刘兴国</w:t>
      </w:r>
    </w:p>
    <w:p>
      <w:pPr>
        <w:spacing w:line="320" w:lineRule="atLeast"/>
        <w:jc w:val="left"/>
        <w:rPr>
          <w:rFonts w:hint="default" w:asciiTheme="minorEastAsia" w:hAnsiTheme="minorEastAsia" w:eastAsiaTheme="minorEastAsia" w:cstheme="minorEastAsia"/>
          <w:sz w:val="24"/>
        </w:rPr>
      </w:pPr>
    </w:p>
    <w:p>
      <w:pPr>
        <w:pStyle w:val="2"/>
        <w:ind w:firstLine="220"/>
        <w:rPr>
          <w:rFonts w:hint="default" w:eastAsia="黑体"/>
          <w:color w:val="000000"/>
          <w:sz w:val="32"/>
        </w:rPr>
      </w:pPr>
      <w:r>
        <w:rPr>
          <w:rFonts w:hint="default" w:eastAsia="仿宋_GB2312"/>
          <w:sz w:val="22"/>
          <w:szCs w:val="24"/>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olor w:val="000000"/>
                <w:kern w:val="0"/>
              </w:rPr>
              <w:t>生态监测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r>
              <w:rPr>
                <w:rFonts w:asciiTheme="majorEastAsia" w:hAnsiTheme="majorEastAsia" w:eastAsiaTheme="majorEastAsia" w:cstheme="majorEastAsia"/>
                <w:color w:val="000000"/>
                <w:kern w:val="0"/>
                <w:sz w:val="24"/>
              </w:rPr>
              <w:t>通过开展生态监测，维护湿地公园及其周边的生态环境稳定，保护流域内生物多样性。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olor w:val="000000"/>
                <w:kern w:val="0"/>
              </w:rPr>
              <w:t>生</w:t>
            </w:r>
            <w:r>
              <w:rPr>
                <w:rFonts w:asciiTheme="majorEastAsia" w:hAnsiTheme="majorEastAsia" w:eastAsiaTheme="majorEastAsia" w:cstheme="majorEastAsia"/>
                <w:color w:val="000000"/>
                <w:kern w:val="0"/>
                <w:sz w:val="24"/>
              </w:rPr>
              <w:t>态监测经费于2023年全部到位。项目资金到位比例100%，拨付足额、及时，截至2023年12月31日，县财政下达日月湖国家湿地公园管理中心生态监测经费7万元，已使用5.342万元。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420" w:firstLineChars="200"/>
              <w:rPr>
                <w:rFonts w:hint="default" w:asciiTheme="minorEastAsia" w:hAnsiTheme="minorEastAsia" w:eastAsiaTheme="minorEastAsia" w:cstheme="minorEastAsia"/>
                <w:sz w:val="24"/>
              </w:rPr>
            </w:pPr>
            <w:r>
              <w:rPr>
                <w:rFonts w:ascii="仿宋_GB2312" w:hAnsi="仿宋_GB2312" w:eastAsia="宋体"/>
                <w:kern w:val="0"/>
              </w:rPr>
              <w:t>目标已完成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720" w:firstLineChars="3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6"/>
              <w:widowControl/>
              <w:spacing w:beforeAutospacing="0" w:afterAutospacing="0" w:line="570" w:lineRule="atLeast"/>
              <w:jc w:val="both"/>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1.加强科学合理制定绩效目标及考核体系，充分发挥绩效工作效用。</w:t>
            </w:r>
          </w:p>
          <w:p>
            <w:pPr>
              <w:jc w:val="center"/>
              <w:rPr>
                <w:rFonts w:hint="default" w:asciiTheme="minorEastAsia" w:hAnsiTheme="minorEastAsia" w:eastAsiaTheme="minorEastAsia" w:cstheme="minorEastAsia"/>
                <w:sz w:val="24"/>
              </w:rPr>
            </w:pPr>
            <w:r>
              <w:rPr>
                <w:rFonts w:hint="default" w:asciiTheme="majorEastAsia" w:hAnsiTheme="majorEastAsia" w:eastAsiaTheme="majorEastAsia" w:cstheme="majorEastAsia"/>
                <w:color w:val="000000"/>
                <w:kern w:val="0"/>
                <w:sz w:val="24"/>
              </w:rPr>
              <w:t>2.进一下抓好支出进度管理工作，加快财政支出进度，发挥财政资金效益，使财政资金能够高效、高质地用于湿地工作，提高单位服务社会的能力。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p>
          <w:p>
            <w:pPr>
              <w:ind w:firstLine="480" w:firstLineChars="2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仿宋_GB2312" w:hAnsi="仿宋_GB2312" w:eastAsiaTheme="minorEastAsia"/>
          <w:kern w:val="0"/>
        </w:rPr>
      </w:pPr>
      <w:r>
        <w:rPr>
          <w:rFonts w:asciiTheme="minorEastAsia" w:hAnsiTheme="minorEastAsia" w:eastAsiaTheme="minorEastAsia" w:cstheme="minorEastAsia"/>
          <w:sz w:val="24"/>
        </w:rPr>
        <w:t>单位负责人签字：</w:t>
      </w:r>
      <w:r>
        <w:rPr>
          <w:rFonts w:ascii="仿宋_GB2312" w:hAnsi="仿宋_GB2312" w:eastAsiaTheme="minorEastAsia"/>
          <w:kern w:val="0"/>
        </w:rPr>
        <w:t>刘兴国</w:t>
      </w:r>
    </w:p>
    <w:p>
      <w:pPr>
        <w:spacing w:line="320" w:lineRule="atLeast"/>
        <w:jc w:val="left"/>
        <w:rPr>
          <w:rFonts w:hint="default" w:asciiTheme="minorEastAsia" w:hAnsiTheme="minorEastAsia" w:eastAsiaTheme="minorEastAsia" w:cstheme="minorEastAsia"/>
          <w:sz w:val="24"/>
        </w:rPr>
      </w:pPr>
    </w:p>
    <w:p>
      <w:pPr>
        <w:pStyle w:val="2"/>
        <w:ind w:firstLine="220"/>
        <w:rPr>
          <w:rFonts w:hint="default"/>
        </w:rPr>
      </w:pPr>
      <w:r>
        <w:rPr>
          <w:rFonts w:hint="default" w:eastAsia="仿宋_GB2312"/>
          <w:sz w:val="22"/>
          <w:szCs w:val="24"/>
        </w:rPr>
        <w:br w:type="page"/>
      </w:r>
    </w:p>
    <w:p>
      <w:pPr>
        <w:widowControl/>
        <w:spacing w:line="340" w:lineRule="exac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olor w:val="000000"/>
                <w:kern w:val="0"/>
              </w:rPr>
              <w:t>科普宣教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通过开展形式丰富的科普宣教活动，提高民众的湿地保护意识，从而自发地参与到湿地保护建设中来。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科普宣教经费于2023年全部到位。项目资金到位比例100%，截至2023年12月31日，县财政下达日月湖国家湿地公园管理中心科普宣教经费2万元，已使用2万元。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720" w:firstLineChars="3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目标已完成</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8"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ind w:firstLine="240" w:firstLineChars="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ind w:firstLine="720" w:firstLineChars="3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1"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ign w:val="center"/>
          </w:tcPr>
          <w:p>
            <w:pPr>
              <w:pStyle w:val="6"/>
              <w:widowControl/>
              <w:spacing w:beforeAutospacing="0" w:afterAutospacing="0" w:line="570" w:lineRule="atLeast"/>
              <w:jc w:val="both"/>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1.加强科学合理制定绩效目标及考核体系，充分发挥绩效工作效用。</w:t>
            </w:r>
          </w:p>
          <w:p>
            <w:pPr>
              <w:jc w:val="center"/>
              <w:rPr>
                <w:rFonts w:hint="default" w:asciiTheme="minorEastAsia" w:hAnsiTheme="minorEastAsia" w:eastAsiaTheme="minorEastAsia" w:cstheme="minorEastAsia"/>
                <w:sz w:val="24"/>
              </w:rPr>
            </w:pPr>
            <w:r>
              <w:rPr>
                <w:rFonts w:hint="default" w:asciiTheme="majorEastAsia" w:hAnsiTheme="majorEastAsia" w:eastAsiaTheme="majorEastAsia" w:cstheme="majorEastAsia"/>
                <w:color w:val="000000"/>
                <w:kern w:val="0"/>
                <w:sz w:val="24"/>
              </w:rPr>
              <w:t>2.进一下抓好支出进度管理工作，加快财政支出进度，发挥财政资金效益，使财政资金能够高效、高质地用于湿地工作，提高单位服务社会的能力。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default" w:asciiTheme="minorEastAsia" w:hAnsiTheme="minorEastAsia" w:eastAsiaTheme="minorEastAsia" w:cstheme="minorEastAsia"/>
                <w:sz w:val="24"/>
              </w:rPr>
            </w:pPr>
          </w:p>
          <w:p>
            <w:pPr>
              <w:ind w:firstLine="720" w:firstLineChars="3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仿宋_GB2312" w:hAnsi="仿宋_GB2312" w:eastAsiaTheme="minorEastAsia"/>
          <w:kern w:val="0"/>
        </w:rPr>
      </w:pPr>
      <w:r>
        <w:rPr>
          <w:rFonts w:asciiTheme="minorEastAsia" w:hAnsiTheme="minorEastAsia" w:eastAsiaTheme="minorEastAsia" w:cstheme="minorEastAsia"/>
          <w:sz w:val="24"/>
        </w:rPr>
        <w:t>单位负责人签字：</w:t>
      </w:r>
      <w:r>
        <w:rPr>
          <w:rFonts w:ascii="仿宋_GB2312" w:hAnsi="仿宋_GB2312" w:eastAsiaTheme="minorEastAsia"/>
          <w:kern w:val="0"/>
        </w:rPr>
        <w:t>刘兴国</w:t>
      </w:r>
    </w:p>
    <w:p>
      <w:pPr>
        <w:spacing w:line="320" w:lineRule="atLeast"/>
        <w:jc w:val="left"/>
        <w:rPr>
          <w:rFonts w:hint="default" w:asciiTheme="minorEastAsia" w:hAnsiTheme="minorEastAsia" w:eastAsiaTheme="minorEastAsia" w:cstheme="minorEastAsia"/>
          <w:sz w:val="24"/>
        </w:rPr>
      </w:pPr>
    </w:p>
    <w:p>
      <w:pPr>
        <w:pStyle w:val="2"/>
        <w:ind w:firstLine="220"/>
        <w:rPr>
          <w:rFonts w:hint="default"/>
        </w:rPr>
      </w:pPr>
      <w:r>
        <w:rPr>
          <w:rFonts w:hint="default" w:eastAsia="仿宋_GB2312"/>
          <w:sz w:val="22"/>
          <w:szCs w:val="24"/>
        </w:rPr>
        <w:br w:type="page"/>
      </w: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8"/>
        <w:tblW w:w="103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168"/>
        <w:gridCol w:w="1168"/>
        <w:gridCol w:w="1324"/>
        <w:gridCol w:w="1227"/>
        <w:gridCol w:w="1140"/>
        <w:gridCol w:w="996"/>
        <w:gridCol w:w="1049"/>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9443"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kern w:val="0"/>
              </w:rPr>
              <w:t>质量评估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887"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3416"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kern w:val="0"/>
              </w:rPr>
              <w:t>双牌县日月湖国家湿地公园管理中心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33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33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6.5</w:t>
            </w:r>
          </w:p>
        </w:tc>
        <w:tc>
          <w:tcPr>
            <w:tcW w:w="122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rPr>
            </w:pPr>
            <w:r>
              <w:rPr>
                <w:rFonts w:asciiTheme="minorEastAsia" w:hAnsiTheme="minorEastAsia" w:eastAsiaTheme="minorEastAsia"/>
                <w:color w:val="000000"/>
                <w:kern w:val="0"/>
              </w:rPr>
              <w:t>6.5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5.683164</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10</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87.38%</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8.74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33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ind w:firstLine="210" w:firstLineChars="100"/>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6.5</w:t>
            </w:r>
          </w:p>
        </w:tc>
        <w:tc>
          <w:tcPr>
            <w:tcW w:w="1227"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asciiTheme="minorEastAsia" w:hAnsiTheme="minorEastAsia" w:eastAsiaTheme="minorEastAsia"/>
              </w:rPr>
            </w:pPr>
            <w:r>
              <w:rPr>
                <w:rFonts w:asciiTheme="minorEastAsia" w:hAnsiTheme="minorEastAsia" w:eastAsiaTheme="minorEastAsia"/>
                <w:color w:val="000000"/>
                <w:kern w:val="0"/>
              </w:rPr>
              <w:t>6.5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5.683164</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33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233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887"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55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4887"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inorEastAsia" w:hAnsiTheme="minorEastAsia" w:eastAsiaTheme="minorEastAsia"/>
                <w:color w:val="000000"/>
                <w:kern w:val="0"/>
                <w:szCs w:val="21"/>
              </w:rPr>
            </w:pPr>
            <w:r>
              <w:rPr>
                <w:rFonts w:asciiTheme="minorEastAsia" w:hAnsiTheme="minorEastAsia" w:eastAsiaTheme="minorEastAsia"/>
                <w:kern w:val="0"/>
              </w:rPr>
              <w:t>确保双牌日月湖国家湿地公园达到质量管理评估条件</w:t>
            </w:r>
          </w:p>
        </w:tc>
        <w:tc>
          <w:tcPr>
            <w:tcW w:w="4556"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cs="Times New Roman" w:asciiTheme="minorEastAsia" w:hAnsiTheme="minorEastAsia" w:eastAsiaTheme="minorEastAsia"/>
                <w:color w:val="000000"/>
                <w:kern w:val="0"/>
                <w:szCs w:val="21"/>
              </w:rPr>
            </w:pPr>
            <w:r>
              <w:rPr>
                <w:rFonts w:asciiTheme="minorEastAsia" w:hAnsiTheme="minorEastAsia" w:eastAsiaTheme="minorEastAsia"/>
                <w:color w:val="000000"/>
                <w:kern w:val="0"/>
              </w:rPr>
              <w:t>　</w:t>
            </w:r>
            <w:r>
              <w:rPr>
                <w:rFonts w:asciiTheme="minorEastAsia" w:hAnsiTheme="minorEastAsia" w:eastAsiaTheme="minorEastAsia"/>
                <w:kern w:val="0"/>
              </w:rPr>
              <w:t>获2023年湖南省湿地公园质量管理评估良好单位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16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经费控制额</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6.5万元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5.683164万元</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20</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18</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完成支出总额</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6.5万元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5.683164万元</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20</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18</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做到及时实施</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1年</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1年</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促进社会发展</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rPr>
            </w:pPr>
            <w:r>
              <w:rPr>
                <w:rFonts w:asciiTheme="minorEastAsia" w:hAnsiTheme="minorEastAsia" w:eastAsiaTheme="minorEastAsia"/>
                <w:color w:val="000000"/>
                <w:kern w:val="0"/>
              </w:rPr>
              <w:t>社会效益良好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olor w:val="000000"/>
                <w:kern w:val="0"/>
              </w:rPr>
              <w:t>社会效益良好</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18</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16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社会公众或服务对象满意度</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inorEastAsia" w:hAnsiTheme="minorEastAsia" w:eastAsiaTheme="minorEastAsia"/>
                <w:color w:val="000000"/>
                <w:kern w:val="0"/>
              </w:rPr>
            </w:pPr>
            <w:r>
              <w:rPr>
                <w:rFonts w:asciiTheme="minorEastAsia" w:hAnsiTheme="minorEastAsia" w:eastAsiaTheme="minorEastAsia"/>
                <w:color w:val="000000"/>
                <w:kern w:val="0"/>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olor w:val="000000"/>
                <w:kern w:val="0"/>
              </w:rPr>
              <w:t>》95%</w:t>
            </w: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8</w:t>
            </w: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16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2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99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04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c>
          <w:tcPr>
            <w:tcW w:w="1371"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948"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996"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049"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90.74</w:t>
            </w:r>
          </w:p>
        </w:tc>
        <w:tc>
          <w:tcPr>
            <w:tcW w:w="1371"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inorEastAsia" w:hAnsiTheme="minorEastAsia" w:eastAsiaTheme="minorEastAsia" w:cstheme="minorEastAsia"/>
                <w:color w:val="000000"/>
                <w:sz w:val="24"/>
              </w:rPr>
            </w:pP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Theme="minorEastAsia" w:hAnsiTheme="minorEastAsia" w:eastAsiaTheme="minorEastAsia"/>
          <w:kern w:val="0"/>
        </w:rPr>
      </w:pPr>
      <w:r>
        <w:rPr>
          <w:rFonts w:asciiTheme="minorEastAsia" w:hAnsiTheme="minorEastAsia" w:eastAsiaTheme="minorEastAsia" w:cstheme="minorEastAsia"/>
          <w:sz w:val="24"/>
        </w:rPr>
        <w:t>单位负责人签字：</w:t>
      </w:r>
      <w:r>
        <w:rPr>
          <w:rFonts w:asciiTheme="minorEastAsia" w:hAnsiTheme="minorEastAsia" w:eastAsiaTheme="minorEastAsia"/>
          <w:kern w:val="0"/>
        </w:rPr>
        <w:t>刘兴国</w:t>
      </w:r>
    </w:p>
    <w:p>
      <w:pPr>
        <w:spacing w:line="320" w:lineRule="atLeast"/>
        <w:jc w:val="left"/>
        <w:rPr>
          <w:rFonts w:hint="default" w:asciiTheme="minorEastAsia" w:hAnsiTheme="minorEastAsia" w:eastAsiaTheme="minorEastAsia" w:cstheme="minorEastAsia"/>
          <w:sz w:val="24"/>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8"/>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6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项目支</w:t>
            </w:r>
          </w:p>
          <w:p>
            <w:pPr>
              <w:spacing w:line="26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hint="default" w:asciiTheme="majorEastAsia" w:hAnsiTheme="majorEastAsia" w:eastAsiaTheme="majorEastAsia" w:cstheme="majorEastAsia"/>
                <w:color w:val="000000"/>
                <w:kern w:val="0"/>
                <w:sz w:val="24"/>
              </w:rPr>
              <w:t>2023</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月至</w:t>
            </w:r>
            <w:r>
              <w:rPr>
                <w:rFonts w:hint="default" w:asciiTheme="majorEastAsia" w:hAnsiTheme="majorEastAsia" w:eastAsiaTheme="majorEastAsia" w:cstheme="majorEastAsia"/>
                <w:color w:val="000000"/>
                <w:kern w:val="0"/>
                <w:sz w:val="24"/>
              </w:rPr>
              <w:t>2024</w:t>
            </w:r>
            <w:r>
              <w:rPr>
                <w:rFonts w:asciiTheme="majorEastAsia" w:hAnsiTheme="majorEastAsia" w:eastAsiaTheme="majorEastAsia" w:cstheme="majorEastAsia"/>
                <w:color w:val="000000"/>
                <w:kern w:val="0"/>
                <w:sz w:val="24"/>
              </w:rPr>
              <w:t>年</w:t>
            </w:r>
            <w:r>
              <w:rPr>
                <w:rFonts w:hint="default" w:asciiTheme="majorEastAsia" w:hAnsiTheme="majorEastAsia" w:eastAsiaTheme="majorEastAsia" w:cstheme="majorEastAsia"/>
                <w:color w:val="000000"/>
                <w:kern w:val="0"/>
                <w:sz w:val="24"/>
              </w:rPr>
              <w:t>7</w:t>
            </w:r>
            <w:r>
              <w:rPr>
                <w:rFonts w:asciiTheme="majorEastAsia" w:hAnsiTheme="majorEastAsia" w:eastAsiaTheme="majorEastAsia" w:cstheme="majorEastAsia"/>
                <w:color w:val="000000"/>
                <w:kern w:val="0"/>
                <w:sz w:val="24"/>
              </w:rPr>
              <w:t>月宣教租金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r>
              <w:rPr>
                <w:rFonts w:asciiTheme="majorEastAsia" w:hAnsiTheme="majorEastAsia" w:eastAsiaTheme="majorEastAsia"/>
                <w:kern w:val="0"/>
              </w:rPr>
              <w:t>双牌县日月湖国家湿地公园管理中心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项目资金</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年初</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全年</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全年</w:t>
            </w:r>
          </w:p>
          <w:p>
            <w:pPr>
              <w:jc w:val="center"/>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18.1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18.1</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17.74725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98.07%</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9.81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18.1</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18.1</w:t>
            </w:r>
          </w:p>
        </w:tc>
        <w:tc>
          <w:tcPr>
            <w:tcW w:w="1140" w:type="dxa"/>
            <w:tcBorders>
              <w:top w:val="single" w:color="auto" w:sz="6" w:space="0"/>
              <w:left w:val="single" w:color="auto" w:sz="6" w:space="0"/>
              <w:bottom w:val="single" w:color="auto" w:sz="6" w:space="0"/>
              <w:right w:val="single" w:color="auto" w:sz="6" w:space="0"/>
              <w:tl2br w:val="nil"/>
              <w:tr2bl w:val="nil"/>
            </w:tcBorders>
            <w:noWrap/>
          </w:tcPr>
          <w:p>
            <w:pPr>
              <w:jc w:val="center"/>
              <w:rPr>
                <w:rFonts w:hint="default" w:cs="Times New Roman" w:asciiTheme="majorEastAsia" w:hAnsiTheme="majorEastAsia" w:eastAsiaTheme="majorEastAsia"/>
                <w:color w:val="000000"/>
                <w:kern w:val="0"/>
                <w:szCs w:val="21"/>
              </w:rPr>
            </w:pPr>
            <w:r>
              <w:rPr>
                <w:rFonts w:asciiTheme="majorEastAsia" w:hAnsiTheme="majorEastAsia" w:eastAsiaTheme="majorEastAsia"/>
                <w:color w:val="000000"/>
                <w:kern w:val="0"/>
              </w:rPr>
              <w:t>17.74725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center"/>
              <w:rPr>
                <w:rFonts w:hint="default" w:cs="Times New Roman" w:asciiTheme="majorEastAsia" w:hAnsiTheme="majorEastAsia" w:eastAsiaTheme="major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firstLine="720" w:firstLineChars="300"/>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ind w:firstLine="720" w:firstLineChars="300"/>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6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kern w:val="0"/>
              </w:rPr>
            </w:pPr>
            <w:r>
              <w:rPr>
                <w:rFonts w:asciiTheme="majorEastAsia" w:hAnsiTheme="majorEastAsia" w:eastAsiaTheme="majorEastAsia"/>
                <w:kern w:val="0"/>
              </w:rPr>
              <w:t>确保双牌日月湖国家湿地公园具备科普宣教条件</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300" w:lineRule="exact"/>
              <w:jc w:val="left"/>
              <w:rPr>
                <w:rFonts w:hint="default" w:asciiTheme="majorEastAsia" w:hAnsiTheme="majorEastAsia" w:eastAsiaTheme="majorEastAsia"/>
                <w:kern w:val="0"/>
              </w:rPr>
            </w:pPr>
            <w:r>
              <w:rPr>
                <w:rFonts w:asciiTheme="majorEastAsia" w:hAnsiTheme="majorEastAsia" w:eastAsiaTheme="majorEastAsia"/>
                <w:kern w:val="0"/>
              </w:rPr>
              <w:t>　双牌日月湖国家湿地公园具备了科普宣教条件</w:t>
            </w:r>
            <w:r>
              <w:rPr>
                <w:rFonts w:asciiTheme="majorEastAsia" w:hAnsiTheme="majorEastAsia" w:eastAsiaTheme="majorEastAsia" w:cstheme="majorEastAsia"/>
                <w:color w:val="000000"/>
                <w:kern w:val="0"/>
                <w:sz w:val="24"/>
              </w:rPr>
              <w:t>，湿地宣教馆已申报为省级科学技术普及基地，并已接待省市县三级领导及各组织团体参观、学习、开展各类研学活动。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0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绩</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效</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指</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年度</w:t>
            </w:r>
          </w:p>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实际</w:t>
            </w:r>
          </w:p>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偏差原因</w:t>
            </w:r>
          </w:p>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分析及</w:t>
            </w:r>
          </w:p>
          <w:p>
            <w:pPr>
              <w:spacing w:line="240" w:lineRule="exact"/>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成本指标</w:t>
            </w:r>
          </w:p>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经济成</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经费控制额</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18.1万元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olor w:val="000000"/>
                <w:kern w:val="0"/>
              </w:rPr>
              <w:t>17.74725</w:t>
            </w:r>
            <w:r>
              <w:rPr>
                <w:rFonts w:asciiTheme="majorEastAsia" w:hAnsiTheme="majorEastAsia" w:eastAsiaTheme="majorEastAsia" w:cstheme="minorEastAsia"/>
                <w:color w:val="000000"/>
                <w:sz w:val="24"/>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18</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社会成</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生态环境</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产出指标</w:t>
            </w:r>
          </w:p>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完成支出总额</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18.1万元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olor w:val="000000"/>
                <w:kern w:val="0"/>
              </w:rPr>
              <w:t>17.74725</w:t>
            </w:r>
            <w:r>
              <w:rPr>
                <w:rFonts w:asciiTheme="majorEastAsia" w:hAnsiTheme="majorEastAsia" w:eastAsiaTheme="majorEastAsia" w:cstheme="minorEastAsia"/>
                <w:color w:val="000000"/>
                <w:sz w:val="24"/>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18</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做到及时实施</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1年</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1年</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效益指标</w:t>
            </w:r>
          </w:p>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经济效</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生态效</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kern w:val="0"/>
                <w:sz w:val="24"/>
              </w:rPr>
            </w:pPr>
            <w:r>
              <w:rPr>
                <w:rFonts w:asciiTheme="majorEastAsia" w:hAnsiTheme="majorEastAsia" w:eastAsiaTheme="majorEastAsia" w:cstheme="minorEastAsia"/>
                <w:color w:val="000000"/>
                <w:kern w:val="0"/>
                <w:sz w:val="24"/>
              </w:rPr>
              <w:t>社会效</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促进社会发展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rPr>
            </w:pPr>
            <w:r>
              <w:rPr>
                <w:rFonts w:asciiTheme="majorEastAsia" w:hAnsiTheme="majorEastAsia" w:eastAsiaTheme="majorEastAsia"/>
                <w:color w:val="000000"/>
                <w:kern w:val="0"/>
              </w:rPr>
              <w:t>社会效益良好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rPr>
            </w:pPr>
            <w:r>
              <w:rPr>
                <w:rFonts w:asciiTheme="majorEastAsia" w:hAnsiTheme="majorEastAsia" w:eastAsiaTheme="majorEastAsia"/>
                <w:color w:val="000000"/>
                <w:kern w:val="0"/>
              </w:rPr>
              <w:t>社会效益良好</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18</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满意度</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指标</w:t>
            </w:r>
          </w:p>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300" w:lineRule="exact"/>
              <w:jc w:val="center"/>
              <w:rPr>
                <w:rFonts w:hint="default" w:asciiTheme="majorEastAsia" w:hAnsiTheme="majorEastAsia" w:eastAsiaTheme="majorEastAsia"/>
                <w:color w:val="000000"/>
                <w:kern w:val="0"/>
              </w:rPr>
            </w:pPr>
            <w:r>
              <w:rPr>
                <w:rFonts w:asciiTheme="majorEastAsia" w:hAnsiTheme="majorEastAsia" w:eastAsiaTheme="majorEastAsia"/>
                <w:color w:val="000000"/>
                <w:kern w:val="0"/>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8</w:t>
            </w: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default" w:asciiTheme="majorEastAsia" w:hAnsiTheme="majorEastAsia" w:eastAsiaTheme="majorEastAsia" w:cstheme="minorEastAsia"/>
                <w:color w:val="000000"/>
                <w:sz w:val="24"/>
              </w:rPr>
            </w:pPr>
            <w:r>
              <w:rPr>
                <w:rFonts w:asciiTheme="majorEastAsia" w:hAnsiTheme="majorEastAsia" w:eastAsiaTheme="majorEastAsia" w:cstheme="minorEastAsia"/>
                <w:color w:val="000000"/>
                <w:sz w:val="24"/>
              </w:rPr>
              <w:t>91.81</w:t>
            </w:r>
          </w:p>
        </w:tc>
        <w:tc>
          <w:tcPr>
            <w:tcW w:w="1146" w:type="dxa"/>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hint="default" w:asciiTheme="majorEastAsia" w:hAnsiTheme="majorEastAsia" w:eastAsiaTheme="majorEastAsia" w:cstheme="minorEastAsia"/>
                <w:color w:val="000000"/>
                <w:sz w:val="24"/>
              </w:rPr>
            </w:pPr>
          </w:p>
        </w:tc>
      </w:tr>
    </w:tbl>
    <w:p>
      <w:pPr>
        <w:jc w:val="left"/>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备注：每个项目支出分别填报自评报告和自评表。</w:t>
      </w:r>
    </w:p>
    <w:p>
      <w:pPr>
        <w:jc w:val="left"/>
        <w:rPr>
          <w:rFonts w:hint="default" w:asciiTheme="majorEastAsia" w:hAnsiTheme="majorEastAsia" w:eastAsiaTheme="majorEastAsia" w:cstheme="minorEastAsia"/>
          <w:sz w:val="24"/>
        </w:rPr>
      </w:pPr>
    </w:p>
    <w:p>
      <w:pPr>
        <w:widowControl/>
        <w:jc w:val="left"/>
        <w:rPr>
          <w:rFonts w:hint="default" w:asciiTheme="majorEastAsia" w:hAnsiTheme="majorEastAsia" w:eastAsiaTheme="majorEastAsia" w:cstheme="minorEastAsia"/>
          <w:sz w:val="24"/>
        </w:rPr>
      </w:pPr>
      <w:r>
        <w:rPr>
          <w:rFonts w:asciiTheme="majorEastAsia" w:hAnsiTheme="majorEastAsia" w:eastAsiaTheme="majorEastAsia" w:cstheme="minorEastAsia"/>
          <w:sz w:val="24"/>
        </w:rPr>
        <w:t xml:space="preserve">填表人：刘苏玲     填报日期：2024.4.12  联系电话：7721608 </w:t>
      </w:r>
    </w:p>
    <w:p>
      <w:pPr>
        <w:widowControl/>
        <w:jc w:val="left"/>
        <w:rPr>
          <w:rFonts w:hint="default" w:asciiTheme="majorEastAsia" w:hAnsiTheme="majorEastAsia" w:eastAsiaTheme="majorEastAsia"/>
          <w:kern w:val="0"/>
        </w:rPr>
      </w:pPr>
      <w:r>
        <w:rPr>
          <w:rFonts w:asciiTheme="majorEastAsia" w:hAnsiTheme="majorEastAsia" w:eastAsiaTheme="majorEastAsia" w:cstheme="minorEastAsia"/>
          <w:sz w:val="24"/>
        </w:rPr>
        <w:t>单位负责人签字：</w:t>
      </w:r>
      <w:r>
        <w:rPr>
          <w:rFonts w:asciiTheme="majorEastAsia" w:hAnsiTheme="majorEastAsia" w:eastAsiaTheme="majorEastAsia"/>
          <w:kern w:val="0"/>
        </w:rPr>
        <w:t>刘兴国</w:t>
      </w:r>
    </w:p>
    <w:p>
      <w:pPr>
        <w:spacing w:line="320" w:lineRule="atLeast"/>
        <w:jc w:val="left"/>
        <w:rPr>
          <w:rFonts w:hint="default" w:asciiTheme="majorEastAsia" w:hAnsiTheme="majorEastAsia" w:eastAsiaTheme="majorEastAsia" w:cstheme="minorEastAsia"/>
          <w:sz w:val="24"/>
        </w:rPr>
      </w:pPr>
    </w:p>
    <w:p>
      <w:pPr>
        <w:spacing w:line="320" w:lineRule="atLeast"/>
        <w:jc w:val="left"/>
        <w:rPr>
          <w:rFonts w:hint="default" w:asciiTheme="minorEastAsia" w:hAnsiTheme="minorEastAsia" w:eastAsiaTheme="minorEastAsia" w:cstheme="minorEastAsia"/>
          <w:sz w:val="24"/>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tbl>
      <w:tblPr>
        <w:tblStyle w:val="8"/>
        <w:tblW w:w="9420" w:type="dxa"/>
        <w:tblInd w:w="93" w:type="dxa"/>
        <w:tblLayout w:type="fixed"/>
        <w:tblCellMar>
          <w:top w:w="0" w:type="dxa"/>
          <w:left w:w="108" w:type="dxa"/>
          <w:bottom w:w="0" w:type="dxa"/>
          <w:right w:w="108" w:type="dxa"/>
        </w:tblCellMar>
      </w:tblPr>
      <w:tblGrid>
        <w:gridCol w:w="780"/>
        <w:gridCol w:w="1080"/>
        <w:gridCol w:w="1080"/>
        <w:gridCol w:w="1080"/>
        <w:gridCol w:w="106"/>
        <w:gridCol w:w="974"/>
        <w:gridCol w:w="1080"/>
        <w:gridCol w:w="1080"/>
        <w:gridCol w:w="1080"/>
        <w:gridCol w:w="1080"/>
      </w:tblGrid>
      <w:tr>
        <w:tblPrEx>
          <w:tblLayout w:type="fixed"/>
          <w:tblCellMar>
            <w:top w:w="0" w:type="dxa"/>
            <w:left w:w="108" w:type="dxa"/>
            <w:bottom w:w="0" w:type="dxa"/>
            <w:right w:w="108" w:type="dxa"/>
          </w:tblCellMar>
        </w:tblPrEx>
        <w:trPr>
          <w:trHeight w:val="555" w:hRule="atLeast"/>
        </w:trPr>
        <w:tc>
          <w:tcPr>
            <w:tcW w:w="9420" w:type="dxa"/>
            <w:gridSpan w:val="10"/>
            <w:tcBorders>
              <w:top w:val="nil"/>
              <w:left w:val="nil"/>
              <w:bottom w:val="single" w:color="auto" w:sz="12" w:space="0"/>
              <w:right w:val="nil"/>
            </w:tcBorders>
            <w:shd w:val="clear" w:color="auto" w:fill="auto"/>
            <w:vAlign w:val="center"/>
          </w:tcPr>
          <w:p>
            <w:pPr>
              <w:widowControl/>
              <w:jc w:val="center"/>
              <w:rPr>
                <w:rFonts w:hint="default"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2023年度项目支出绩效自评表</w:t>
            </w:r>
          </w:p>
        </w:tc>
      </w:tr>
      <w:tr>
        <w:tblPrEx>
          <w:tblLayout w:type="fixed"/>
          <w:tblCellMar>
            <w:top w:w="0" w:type="dxa"/>
            <w:left w:w="108" w:type="dxa"/>
            <w:bottom w:w="0" w:type="dxa"/>
            <w:right w:w="108" w:type="dxa"/>
          </w:tblCellMar>
        </w:tblPrEx>
        <w:trPr>
          <w:trHeight w:val="585"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项目支</w:t>
            </w:r>
          </w:p>
        </w:tc>
        <w:tc>
          <w:tcPr>
            <w:tcW w:w="8640" w:type="dxa"/>
            <w:gridSpan w:val="9"/>
            <w:vMerge w:val="restart"/>
            <w:tcBorders>
              <w:top w:val="single" w:color="auto" w:sz="12" w:space="0"/>
              <w:left w:val="single" w:color="auto" w:sz="8" w:space="0"/>
              <w:bottom w:val="single" w:color="000000" w:sz="8" w:space="0"/>
              <w:right w:val="single" w:color="000000" w:sz="12"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保护保育</w:t>
            </w:r>
            <w:r>
              <w:rPr>
                <w:rFonts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585" w:hRule="atLeast"/>
        </w:trPr>
        <w:tc>
          <w:tcPr>
            <w:tcW w:w="78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出名称</w:t>
            </w:r>
          </w:p>
        </w:tc>
        <w:tc>
          <w:tcPr>
            <w:tcW w:w="8640" w:type="dxa"/>
            <w:gridSpan w:val="9"/>
            <w:vMerge w:val="continue"/>
            <w:tcBorders>
              <w:top w:val="nil"/>
              <w:left w:val="single" w:color="auto" w:sz="12" w:space="0"/>
              <w:bottom w:val="single" w:color="auto" w:sz="8" w:space="0"/>
              <w:right w:val="single" w:color="auto" w:sz="8" w:space="0"/>
            </w:tcBorders>
            <w:vAlign w:val="center"/>
          </w:tcPr>
          <w:p>
            <w:pPr>
              <w:widowControl/>
              <w:jc w:val="left"/>
              <w:rPr>
                <w:rFonts w:hint="default"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85" w:hRule="atLeast"/>
        </w:trPr>
        <w:tc>
          <w:tcPr>
            <w:tcW w:w="78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主管部门</w:t>
            </w:r>
          </w:p>
        </w:tc>
        <w:tc>
          <w:tcPr>
            <w:tcW w:w="43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实施单位</w:t>
            </w:r>
          </w:p>
        </w:tc>
        <w:tc>
          <w:tcPr>
            <w:tcW w:w="3240" w:type="dxa"/>
            <w:gridSpan w:val="3"/>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ascii="宋体" w:hAnsi="宋体" w:eastAsia="宋体" w:cs="宋体"/>
                <w:color w:val="000000"/>
                <w:kern w:val="0"/>
                <w:sz w:val="24"/>
              </w:rPr>
              <w:t>　</w:t>
            </w:r>
            <w:r>
              <w:rPr>
                <w:rFonts w:cs="宋体" w:asciiTheme="minorEastAsia" w:hAnsiTheme="minorEastAsia" w:eastAsiaTheme="minorEastAsia"/>
                <w:color w:val="000000"/>
                <w:kern w:val="0"/>
                <w:szCs w:val="21"/>
              </w:rPr>
              <w:t>双牌县日月湖国家湿地公园管理中心</w:t>
            </w:r>
          </w:p>
        </w:tc>
      </w:tr>
      <w:tr>
        <w:tblPrEx>
          <w:tblLayout w:type="fixed"/>
          <w:tblCellMar>
            <w:top w:w="0" w:type="dxa"/>
            <w:left w:w="108" w:type="dxa"/>
            <w:bottom w:w="0" w:type="dxa"/>
            <w:right w:w="108" w:type="dxa"/>
          </w:tblCellMar>
        </w:tblPrEx>
        <w:trPr>
          <w:trHeight w:val="570"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项目资金</w:t>
            </w:r>
          </w:p>
        </w:tc>
        <w:tc>
          <w:tcPr>
            <w:tcW w:w="21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186" w:type="dxa"/>
            <w:gridSpan w:val="2"/>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年初</w:t>
            </w:r>
          </w:p>
        </w:tc>
        <w:tc>
          <w:tcPr>
            <w:tcW w:w="974"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全年</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全年</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分值</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执行率</w:t>
            </w:r>
          </w:p>
        </w:tc>
        <w:tc>
          <w:tcPr>
            <w:tcW w:w="1080" w:type="dxa"/>
            <w:vMerge w:val="restart"/>
            <w:tcBorders>
              <w:top w:val="nil"/>
              <w:left w:val="single" w:color="auto" w:sz="8" w:space="0"/>
              <w:bottom w:val="single" w:color="000000"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得分</w:t>
            </w:r>
          </w:p>
        </w:tc>
      </w:tr>
      <w:tr>
        <w:tblPrEx>
          <w:tblLayout w:type="fixed"/>
          <w:tblCellMar>
            <w:top w:w="0" w:type="dxa"/>
            <w:left w:w="108" w:type="dxa"/>
            <w:bottom w:w="0" w:type="dxa"/>
            <w:right w:w="108" w:type="dxa"/>
          </w:tblCellMar>
        </w:tblPrEx>
        <w:trPr>
          <w:trHeight w:val="585"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（万元）</w:t>
            </w:r>
          </w:p>
        </w:tc>
        <w:tc>
          <w:tcPr>
            <w:tcW w:w="2160" w:type="dxa"/>
            <w:gridSpan w:val="2"/>
            <w:vMerge w:val="continue"/>
            <w:tcBorders>
              <w:top w:val="nil"/>
              <w:left w:val="single" w:color="auto" w:sz="12" w:space="0"/>
              <w:bottom w:val="nil"/>
              <w:right w:val="single" w:color="auto" w:sz="8" w:space="0"/>
            </w:tcBorders>
            <w:vAlign w:val="center"/>
          </w:tcPr>
          <w:p>
            <w:pPr>
              <w:widowControl/>
              <w:jc w:val="left"/>
              <w:rPr>
                <w:rFonts w:hint="default" w:ascii="宋体" w:hAnsi="宋体" w:eastAsia="宋体" w:cs="宋体"/>
                <w:color w:val="000000"/>
                <w:kern w:val="0"/>
                <w:sz w:val="24"/>
              </w:rPr>
            </w:pPr>
          </w:p>
        </w:tc>
        <w:tc>
          <w:tcPr>
            <w:tcW w:w="1186"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预算数</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执行数</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12" w:space="0"/>
            </w:tcBorders>
            <w:vAlign w:val="center"/>
          </w:tcPr>
          <w:p>
            <w:pPr>
              <w:widowControl/>
              <w:jc w:val="left"/>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年度资金总额　</w:t>
            </w:r>
          </w:p>
        </w:tc>
        <w:tc>
          <w:tcPr>
            <w:tcW w:w="1186"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4.6</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4.6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4.5465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98.91%</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9.89</w:t>
            </w: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其中：当年财政拨款　</w:t>
            </w:r>
          </w:p>
        </w:tc>
        <w:tc>
          <w:tcPr>
            <w:tcW w:w="1186" w:type="dxa"/>
            <w:gridSpan w:val="2"/>
            <w:tcBorders>
              <w:top w:val="nil"/>
              <w:left w:val="nil"/>
              <w:bottom w:val="single" w:color="auto" w:sz="8" w:space="0"/>
              <w:right w:val="single" w:color="auto" w:sz="8" w:space="0"/>
            </w:tcBorders>
            <w:shd w:val="clear" w:color="auto" w:fill="auto"/>
          </w:tcPr>
          <w:p>
            <w:pPr>
              <w:jc w:val="center"/>
              <w:rPr>
                <w:rFonts w:hint="default"/>
              </w:rPr>
            </w:pPr>
            <w:r>
              <w:rPr>
                <w:rFonts w:ascii="宋体" w:hAnsi="宋体" w:eastAsia="宋体" w:cs="宋体"/>
                <w:color w:val="000000"/>
                <w:kern w:val="0"/>
                <w:szCs w:val="21"/>
              </w:rPr>
              <w:t>4.6</w:t>
            </w:r>
          </w:p>
        </w:tc>
        <w:tc>
          <w:tcPr>
            <w:tcW w:w="974" w:type="dxa"/>
            <w:tcBorders>
              <w:top w:val="nil"/>
              <w:left w:val="nil"/>
              <w:bottom w:val="single" w:color="auto" w:sz="8" w:space="0"/>
              <w:right w:val="single" w:color="auto" w:sz="8" w:space="0"/>
            </w:tcBorders>
            <w:shd w:val="clear" w:color="auto" w:fill="auto"/>
          </w:tcPr>
          <w:p>
            <w:pPr>
              <w:jc w:val="center"/>
              <w:rPr>
                <w:rFonts w:hint="default"/>
              </w:rPr>
            </w:pPr>
            <w:r>
              <w:rPr>
                <w:rFonts w:ascii="宋体" w:hAnsi="宋体" w:eastAsia="宋体" w:cs="宋体"/>
                <w:color w:val="000000"/>
                <w:kern w:val="0"/>
                <w:szCs w:val="21"/>
              </w:rPr>
              <w:t>4.6</w:t>
            </w:r>
          </w:p>
        </w:tc>
        <w:tc>
          <w:tcPr>
            <w:tcW w:w="1080" w:type="dxa"/>
            <w:tcBorders>
              <w:top w:val="nil"/>
              <w:left w:val="nil"/>
              <w:bottom w:val="single" w:color="auto" w:sz="8" w:space="0"/>
              <w:right w:val="single" w:color="auto" w:sz="8" w:space="0"/>
            </w:tcBorders>
            <w:shd w:val="clear" w:color="auto" w:fill="auto"/>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4.5465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上年结转资金　</w:t>
            </w:r>
          </w:p>
        </w:tc>
        <w:tc>
          <w:tcPr>
            <w:tcW w:w="1186"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其他资金</w:t>
            </w:r>
          </w:p>
        </w:tc>
        <w:tc>
          <w:tcPr>
            <w:tcW w:w="1186" w:type="dxa"/>
            <w:gridSpan w:val="2"/>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974"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tcBorders>
              <w:top w:val="nil"/>
              <w:left w:val="nil"/>
              <w:bottom w:val="single" w:color="auto" w:sz="8" w:space="0"/>
              <w:right w:val="single" w:color="auto" w:sz="12"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r>
      <w:tr>
        <w:tblPrEx>
          <w:tblLayout w:type="fixed"/>
          <w:tblCellMar>
            <w:top w:w="0" w:type="dxa"/>
            <w:left w:w="108" w:type="dxa"/>
            <w:bottom w:w="0" w:type="dxa"/>
            <w:right w:w="108" w:type="dxa"/>
          </w:tblCellMar>
        </w:tblPrEx>
        <w:trPr>
          <w:trHeight w:val="300" w:hRule="atLeast"/>
        </w:trPr>
        <w:tc>
          <w:tcPr>
            <w:tcW w:w="780" w:type="dxa"/>
            <w:vMerge w:val="restart"/>
            <w:tcBorders>
              <w:top w:val="nil"/>
              <w:left w:val="single" w:color="auto" w:sz="12"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年度总体目标</w:t>
            </w:r>
          </w:p>
        </w:tc>
        <w:tc>
          <w:tcPr>
            <w:tcW w:w="43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预期目标</w:t>
            </w:r>
          </w:p>
        </w:tc>
        <w:tc>
          <w:tcPr>
            <w:tcW w:w="432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实际完成情况　</w:t>
            </w:r>
          </w:p>
        </w:tc>
      </w:tr>
      <w:tr>
        <w:tblPrEx>
          <w:tblLayout w:type="fixed"/>
          <w:tblCellMar>
            <w:top w:w="0" w:type="dxa"/>
            <w:left w:w="108" w:type="dxa"/>
            <w:bottom w:w="0" w:type="dxa"/>
            <w:right w:w="108" w:type="dxa"/>
          </w:tblCellMar>
        </w:tblPrEx>
        <w:trPr>
          <w:trHeight w:val="1065" w:hRule="atLeast"/>
        </w:trPr>
        <w:tc>
          <w:tcPr>
            <w:tcW w:w="780" w:type="dxa"/>
            <w:vMerge w:val="continue"/>
            <w:tcBorders>
              <w:top w:val="nil"/>
              <w:left w:val="single" w:color="auto" w:sz="12"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4320"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加强巡护，加大湿地资源保护，促进人与自然和谐发展，促进湿地公园的建设和发展。</w:t>
            </w:r>
          </w:p>
        </w:tc>
        <w:tc>
          <w:tcPr>
            <w:tcW w:w="432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加强巡护，加大湿地资源保护，促进人与自然和谐发展，促进湿地公园的建设和发展。</w:t>
            </w:r>
          </w:p>
        </w:tc>
      </w:tr>
      <w:tr>
        <w:tblPrEx>
          <w:tblLayout w:type="fixed"/>
          <w:tblCellMar>
            <w:top w:w="0" w:type="dxa"/>
            <w:left w:w="108" w:type="dxa"/>
            <w:bottom w:w="0" w:type="dxa"/>
            <w:right w:w="108" w:type="dxa"/>
          </w:tblCellMar>
        </w:tblPrEx>
        <w:trPr>
          <w:trHeight w:val="285"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绩</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一级指标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二级指标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三级指标</w:t>
            </w:r>
          </w:p>
        </w:tc>
        <w:tc>
          <w:tcPr>
            <w:tcW w:w="1080" w:type="dxa"/>
            <w:gridSpan w:val="2"/>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年度</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实际</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分值</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得分</w:t>
            </w:r>
          </w:p>
        </w:tc>
        <w:tc>
          <w:tcPr>
            <w:tcW w:w="1080" w:type="dxa"/>
            <w:tcBorders>
              <w:top w:val="nil"/>
              <w:left w:val="nil"/>
              <w:bottom w:val="nil"/>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偏差原因</w:t>
            </w:r>
          </w:p>
        </w:tc>
      </w:tr>
      <w:tr>
        <w:tblPrEx>
          <w:tblLayout w:type="fixed"/>
          <w:tblCellMar>
            <w:top w:w="0" w:type="dxa"/>
            <w:left w:w="108" w:type="dxa"/>
            <w:bottom w:w="0" w:type="dxa"/>
            <w:right w:w="108" w:type="dxa"/>
          </w:tblCellMar>
        </w:tblPrEx>
        <w:trPr>
          <w:trHeight w:val="285"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效</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gridSpan w:val="2"/>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指标值</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完成值</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nil"/>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分析及</w:t>
            </w: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改进措施</w:t>
            </w:r>
          </w:p>
        </w:tc>
      </w:tr>
      <w:tr>
        <w:tblPrEx>
          <w:tblLayout w:type="fixed"/>
          <w:tblCellMar>
            <w:top w:w="0" w:type="dxa"/>
            <w:left w:w="108" w:type="dxa"/>
            <w:bottom w:w="0" w:type="dxa"/>
            <w:right w:w="108" w:type="dxa"/>
          </w:tblCellMar>
        </w:tblPrEx>
        <w:trPr>
          <w:trHeight w:val="525" w:hRule="atLeast"/>
        </w:trPr>
        <w:tc>
          <w:tcPr>
            <w:tcW w:w="780" w:type="dxa"/>
            <w:tcBorders>
              <w:top w:val="nil"/>
              <w:left w:val="single" w:color="auto" w:sz="12" w:space="0"/>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标</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成本指标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经济成</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经费控制额</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4.6万元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Cs w:val="21"/>
              </w:rPr>
              <w:t>4.5465</w:t>
            </w:r>
            <w:r>
              <w:rPr>
                <w:rFonts w:ascii="宋体" w:hAnsi="宋体" w:eastAsia="宋体" w:cs="宋体"/>
                <w:color w:val="000000"/>
                <w:kern w:val="0"/>
                <w:sz w:val="24"/>
              </w:rPr>
              <w:t>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18</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社会成</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79"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生态环境</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成本指标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525"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产出指标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数量指标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完成支出总额</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4.6万元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Cs w:val="21"/>
              </w:rPr>
              <w:t>4.5465</w:t>
            </w:r>
            <w:r>
              <w:rPr>
                <w:rFonts w:ascii="宋体" w:hAnsi="宋体" w:eastAsia="宋体" w:cs="宋体"/>
                <w:color w:val="000000"/>
                <w:kern w:val="0"/>
                <w:sz w:val="24"/>
              </w:rPr>
              <w:t>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18</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（40分）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质量指标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525"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时效指标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做到及时实施</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1年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1年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效益指标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经济效</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生态效</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　</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525"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社会效</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促进社会发展</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社会效益良好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社会效益良好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ind w:firstLine="120" w:firstLineChars="50"/>
              <w:jc w:val="center"/>
              <w:rPr>
                <w:rFonts w:hint="default" w:ascii="宋体" w:hAnsi="宋体" w:eastAsia="宋体" w:cs="宋体"/>
                <w:color w:val="000000"/>
                <w:kern w:val="0"/>
                <w:sz w:val="24"/>
              </w:rPr>
            </w:pPr>
            <w:r>
              <w:rPr>
                <w:rFonts w:ascii="宋体" w:hAnsi="宋体" w:eastAsia="宋体" w:cs="宋体"/>
                <w:color w:val="000000"/>
                <w:kern w:val="0"/>
                <w:sz w:val="24"/>
              </w:rPr>
              <w:t>18</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285"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服务对象满意度指标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社会公众或服务对象满意度</w:t>
            </w:r>
          </w:p>
        </w:tc>
        <w:tc>
          <w:tcPr>
            <w:tcW w:w="1080" w:type="dxa"/>
            <w:gridSpan w:val="2"/>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》95%</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rPr>
            </w:pPr>
            <w:r>
              <w:rPr>
                <w:rFonts w:ascii="宋体" w:hAnsi="宋体" w:eastAsia="宋体" w:cs="宋体"/>
                <w:color w:val="000000"/>
                <w:kern w:val="0"/>
                <w:szCs w:val="21"/>
              </w:rPr>
              <w:t>》95%</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240" w:firstLineChars="100"/>
              <w:jc w:val="center"/>
              <w:rPr>
                <w:rFonts w:hint="default" w:ascii="宋体" w:hAnsi="宋体" w:eastAsia="宋体" w:cs="宋体"/>
                <w:color w:val="000000"/>
                <w:kern w:val="0"/>
                <w:sz w:val="24"/>
              </w:rPr>
            </w:pPr>
            <w:r>
              <w:rPr>
                <w:rFonts w:ascii="宋体" w:hAnsi="宋体" w:eastAsia="宋体" w:cs="宋体"/>
                <w:color w:val="000000"/>
                <w:kern w:val="0"/>
                <w:sz w:val="24"/>
              </w:rPr>
              <w:t>10</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360" w:firstLineChars="150"/>
              <w:rPr>
                <w:rFonts w:hint="default" w:ascii="宋体" w:hAnsi="宋体" w:eastAsia="宋体" w:cs="宋体"/>
                <w:color w:val="000000"/>
                <w:kern w:val="0"/>
                <w:sz w:val="24"/>
              </w:rPr>
            </w:pPr>
            <w:r>
              <w:rPr>
                <w:rFonts w:ascii="宋体" w:hAnsi="宋体" w:eastAsia="宋体" w:cs="宋体"/>
                <w:color w:val="000000"/>
                <w:kern w:val="0"/>
                <w:sz w:val="24"/>
              </w:rPr>
              <w:t>8</w:t>
            </w:r>
          </w:p>
        </w:tc>
        <w:tc>
          <w:tcPr>
            <w:tcW w:w="1080" w:type="dxa"/>
            <w:vMerge w:val="restart"/>
            <w:tcBorders>
              <w:top w:val="nil"/>
              <w:left w:val="single" w:color="auto" w:sz="8" w:space="0"/>
              <w:bottom w:val="single" w:color="000000"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指标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Cs w:val="21"/>
              </w:rPr>
            </w:pPr>
          </w:p>
        </w:tc>
        <w:tc>
          <w:tcPr>
            <w:tcW w:w="1080" w:type="dxa"/>
            <w:gridSpan w:val="2"/>
            <w:vMerge w:val="continue"/>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color w:val="000000"/>
                <w:kern w:val="0"/>
                <w:sz w:val="24"/>
              </w:rPr>
            </w:pPr>
          </w:p>
        </w:tc>
        <w:tc>
          <w:tcPr>
            <w:tcW w:w="1080" w:type="dxa"/>
            <w:vMerge w:val="continue"/>
            <w:tcBorders>
              <w:top w:val="nil"/>
              <w:left w:val="single" w:color="auto" w:sz="8" w:space="0"/>
              <w:bottom w:val="single" w:color="000000" w:sz="8" w:space="0"/>
              <w:right w:val="single" w:color="auto" w:sz="12" w:space="0"/>
            </w:tcBorders>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rPr>
            </w:pPr>
            <w:r>
              <w:rPr>
                <w:rFonts w:ascii="宋体" w:hAnsi="宋体" w:eastAsia="宋体" w:cs="宋体"/>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（10分）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4"/>
              </w:rPr>
            </w:pPr>
            <w:r>
              <w:rPr>
                <w:rFonts w:ascii="宋体" w:hAnsi="宋体" w:eastAsia="宋体" w:cs="宋体"/>
                <w:color w:val="000000"/>
                <w:kern w:val="0"/>
                <w:sz w:val="24"/>
              </w:rPr>
              <w:t>……</w:t>
            </w:r>
          </w:p>
        </w:tc>
        <w:tc>
          <w:tcPr>
            <w:tcW w:w="1080" w:type="dxa"/>
            <w:gridSpan w:val="2"/>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390" w:hRule="atLeast"/>
        </w:trPr>
        <w:tc>
          <w:tcPr>
            <w:tcW w:w="6180" w:type="dxa"/>
            <w:gridSpan w:val="7"/>
            <w:tcBorders>
              <w:top w:val="single" w:color="auto" w:sz="8" w:space="0"/>
              <w:left w:val="single" w:color="auto" w:sz="12" w:space="0"/>
              <w:bottom w:val="single" w:color="auto" w:sz="12" w:space="0"/>
              <w:right w:val="single" w:color="000000"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总分</w:t>
            </w:r>
          </w:p>
        </w:tc>
        <w:tc>
          <w:tcPr>
            <w:tcW w:w="1080" w:type="dxa"/>
            <w:tcBorders>
              <w:top w:val="nil"/>
              <w:left w:val="nil"/>
              <w:bottom w:val="single" w:color="auto" w:sz="12" w:space="0"/>
              <w:right w:val="single" w:color="auto" w:sz="8" w:space="0"/>
            </w:tcBorders>
            <w:shd w:val="clear" w:color="auto" w:fill="auto"/>
            <w:vAlign w:val="center"/>
          </w:tcPr>
          <w:p>
            <w:pPr>
              <w:widowControl/>
              <w:jc w:val="center"/>
              <w:rPr>
                <w:rFonts w:hint="default" w:ascii="宋体" w:hAnsi="宋体" w:eastAsia="宋体" w:cs="宋体"/>
                <w:color w:val="000000"/>
                <w:kern w:val="0"/>
                <w:sz w:val="24"/>
              </w:rPr>
            </w:pPr>
            <w:r>
              <w:rPr>
                <w:rFonts w:ascii="宋体" w:hAnsi="宋体" w:eastAsia="宋体" w:cs="宋体"/>
                <w:color w:val="000000"/>
                <w:kern w:val="0"/>
                <w:sz w:val="24"/>
              </w:rPr>
              <w:t>100</w:t>
            </w:r>
          </w:p>
        </w:tc>
        <w:tc>
          <w:tcPr>
            <w:tcW w:w="1080" w:type="dxa"/>
            <w:tcBorders>
              <w:top w:val="nil"/>
              <w:left w:val="nil"/>
              <w:bottom w:val="single" w:color="auto" w:sz="12" w:space="0"/>
              <w:right w:val="single" w:color="auto" w:sz="8" w:space="0"/>
            </w:tcBorders>
            <w:shd w:val="clear" w:color="auto" w:fill="auto"/>
            <w:vAlign w:val="center"/>
          </w:tcPr>
          <w:p>
            <w:pPr>
              <w:widowControl/>
              <w:ind w:firstLine="120" w:firstLineChars="50"/>
              <w:jc w:val="center"/>
              <w:rPr>
                <w:rFonts w:hint="default" w:ascii="宋体" w:hAnsi="宋体" w:eastAsia="宋体" w:cs="宋体"/>
                <w:color w:val="000000"/>
                <w:kern w:val="0"/>
                <w:sz w:val="24"/>
              </w:rPr>
            </w:pPr>
            <w:r>
              <w:rPr>
                <w:rFonts w:ascii="宋体" w:hAnsi="宋体" w:eastAsia="宋体" w:cs="宋体"/>
                <w:color w:val="000000"/>
                <w:kern w:val="0"/>
                <w:sz w:val="24"/>
              </w:rPr>
              <w:t>91.89</w:t>
            </w:r>
          </w:p>
        </w:tc>
        <w:tc>
          <w:tcPr>
            <w:tcW w:w="1080" w:type="dxa"/>
            <w:tcBorders>
              <w:top w:val="nil"/>
              <w:left w:val="nil"/>
              <w:bottom w:val="single" w:color="auto" w:sz="12" w:space="0"/>
              <w:right w:val="single" w:color="auto" w:sz="12" w:space="0"/>
            </w:tcBorders>
            <w:shd w:val="clear" w:color="auto" w:fill="auto"/>
            <w:vAlign w:val="center"/>
          </w:tcPr>
          <w:p>
            <w:pPr>
              <w:widowControl/>
              <w:jc w:val="center"/>
              <w:rPr>
                <w:rFonts w:hint="default" w:ascii="宋体" w:hAnsi="宋体" w:eastAsia="宋体" w:cs="宋体"/>
                <w:color w:val="000000"/>
                <w:kern w:val="0"/>
                <w:sz w:val="24"/>
              </w:rPr>
            </w:pP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仿宋_GB2312" w:hAnsi="仿宋_GB2312" w:eastAsiaTheme="minorEastAsia"/>
          <w:kern w:val="0"/>
        </w:rPr>
      </w:pPr>
      <w:r>
        <w:rPr>
          <w:rFonts w:asciiTheme="minorEastAsia" w:hAnsiTheme="minorEastAsia" w:eastAsiaTheme="minorEastAsia" w:cstheme="minorEastAsia"/>
          <w:sz w:val="24"/>
        </w:rPr>
        <w:t>单位负责人签字：</w:t>
      </w:r>
      <w:r>
        <w:rPr>
          <w:rFonts w:ascii="仿宋_GB2312" w:hAnsi="仿宋_GB2312" w:eastAsiaTheme="minorEastAsia"/>
          <w:kern w:val="0"/>
        </w:rPr>
        <w:t>刘兴国</w:t>
      </w: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tbl>
      <w:tblPr>
        <w:tblStyle w:val="8"/>
        <w:tblW w:w="9580" w:type="dxa"/>
        <w:tblInd w:w="93" w:type="dxa"/>
        <w:tblLayout w:type="fixed"/>
        <w:tblCellMar>
          <w:top w:w="0" w:type="dxa"/>
          <w:left w:w="108" w:type="dxa"/>
          <w:bottom w:w="0" w:type="dxa"/>
          <w:right w:w="108" w:type="dxa"/>
        </w:tblCellMar>
      </w:tblPr>
      <w:tblGrid>
        <w:gridCol w:w="940"/>
        <w:gridCol w:w="1080"/>
        <w:gridCol w:w="1080"/>
        <w:gridCol w:w="1080"/>
        <w:gridCol w:w="1080"/>
        <w:gridCol w:w="1080"/>
        <w:gridCol w:w="1080"/>
        <w:gridCol w:w="1080"/>
        <w:gridCol w:w="920"/>
        <w:gridCol w:w="160"/>
      </w:tblGrid>
      <w:tr>
        <w:tblPrEx>
          <w:tblLayout w:type="fixed"/>
          <w:tblCellMar>
            <w:top w:w="0" w:type="dxa"/>
            <w:left w:w="108" w:type="dxa"/>
            <w:bottom w:w="0" w:type="dxa"/>
            <w:right w:w="108" w:type="dxa"/>
          </w:tblCellMar>
        </w:tblPrEx>
        <w:trPr>
          <w:gridAfter w:val="1"/>
          <w:wAfter w:w="160" w:type="dxa"/>
          <w:trHeight w:val="945" w:hRule="atLeast"/>
        </w:trPr>
        <w:tc>
          <w:tcPr>
            <w:tcW w:w="9420" w:type="dxa"/>
            <w:gridSpan w:val="9"/>
            <w:tcBorders>
              <w:top w:val="nil"/>
              <w:left w:val="nil"/>
              <w:bottom w:val="single" w:color="auto" w:sz="12" w:space="0"/>
              <w:right w:val="nil"/>
            </w:tcBorders>
            <w:shd w:val="clear" w:color="auto" w:fill="auto"/>
            <w:vAlign w:val="center"/>
          </w:tcPr>
          <w:p>
            <w:pPr>
              <w:widowControl/>
              <w:jc w:val="center"/>
              <w:rPr>
                <w:rFonts w:hint="default" w:cs="宋体" w:asciiTheme="minorEastAsia" w:hAnsiTheme="minorEastAsia" w:eastAsiaTheme="minorEastAsia"/>
                <w:color w:val="000000"/>
                <w:kern w:val="0"/>
                <w:sz w:val="44"/>
                <w:szCs w:val="44"/>
              </w:rPr>
            </w:pPr>
            <w:r>
              <w:rPr>
                <w:rFonts w:cs="宋体" w:asciiTheme="minorEastAsia" w:hAnsiTheme="minorEastAsia" w:eastAsiaTheme="minorEastAsia"/>
                <w:color w:val="000000"/>
                <w:kern w:val="0"/>
                <w:sz w:val="44"/>
                <w:szCs w:val="44"/>
              </w:rPr>
              <w:t>2023年度项目支出绩效自评表</w:t>
            </w: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项目支</w:t>
            </w:r>
          </w:p>
        </w:tc>
        <w:tc>
          <w:tcPr>
            <w:tcW w:w="8640" w:type="dxa"/>
            <w:gridSpan w:val="9"/>
            <w:vMerge w:val="restart"/>
            <w:tcBorders>
              <w:top w:val="single" w:color="auto" w:sz="12" w:space="0"/>
              <w:left w:val="single" w:color="auto" w:sz="8" w:space="0"/>
              <w:bottom w:val="single" w:color="000000" w:sz="8" w:space="0"/>
              <w:right w:val="single" w:color="000000" w:sz="12"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生态监测　</w:t>
            </w: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出名称</w:t>
            </w:r>
          </w:p>
        </w:tc>
        <w:tc>
          <w:tcPr>
            <w:tcW w:w="8640" w:type="dxa"/>
            <w:gridSpan w:val="9"/>
            <w:vMerge w:val="continue"/>
            <w:tcBorders>
              <w:top w:val="nil"/>
              <w:left w:val="single" w:color="auto" w:sz="12" w:space="0"/>
              <w:bottom w:val="single" w:color="auto" w:sz="8" w:space="0"/>
              <w:right w:val="single" w:color="auto" w:sz="8" w:space="0"/>
            </w:tcBorders>
            <w:vAlign w:val="center"/>
          </w:tcPr>
          <w:p>
            <w:pPr>
              <w:widowControl/>
              <w:jc w:val="left"/>
              <w:rPr>
                <w:rFonts w:hint="default" w:cs="宋体" w:asciiTheme="minorEastAsia" w:hAnsiTheme="minorEastAsia" w:eastAsia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主管部门</w:t>
            </w:r>
          </w:p>
        </w:tc>
        <w:tc>
          <w:tcPr>
            <w:tcW w:w="432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实施单位</w:t>
            </w:r>
          </w:p>
        </w:tc>
        <w:tc>
          <w:tcPr>
            <w:tcW w:w="324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r>
              <w:rPr>
                <w:rFonts w:cs="宋体" w:asciiTheme="minorEastAsia" w:hAnsiTheme="minorEastAsia" w:eastAsiaTheme="minorEastAsia"/>
                <w:color w:val="000000"/>
                <w:kern w:val="0"/>
                <w:szCs w:val="21"/>
              </w:rPr>
              <w:t>双牌县日月湖国家湿地公园管理中心</w:t>
            </w:r>
          </w:p>
        </w:tc>
      </w:tr>
      <w:tr>
        <w:tblPrEx>
          <w:tblLayout w:type="fixed"/>
          <w:tblCellMar>
            <w:top w:w="0" w:type="dxa"/>
            <w:left w:w="108" w:type="dxa"/>
            <w:bottom w:w="0" w:type="dxa"/>
            <w:right w:w="108" w:type="dxa"/>
          </w:tblCellMar>
        </w:tblPrEx>
        <w:trPr>
          <w:trHeight w:val="66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项目资金</w:t>
            </w:r>
          </w:p>
        </w:tc>
        <w:tc>
          <w:tcPr>
            <w:tcW w:w="21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年初</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全年</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全年</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分值</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执行率</w:t>
            </w:r>
          </w:p>
        </w:tc>
        <w:tc>
          <w:tcPr>
            <w:tcW w:w="1080" w:type="dxa"/>
            <w:gridSpan w:val="2"/>
            <w:vMerge w:val="restart"/>
            <w:tcBorders>
              <w:top w:val="nil"/>
              <w:left w:val="single" w:color="auto" w:sz="8" w:space="0"/>
              <w:bottom w:val="single" w:color="000000"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得分</w:t>
            </w:r>
          </w:p>
        </w:tc>
      </w:tr>
      <w:tr>
        <w:tblPrEx>
          <w:tblLayout w:type="fixed"/>
          <w:tblCellMar>
            <w:top w:w="0" w:type="dxa"/>
            <w:left w:w="108" w:type="dxa"/>
            <w:bottom w:w="0" w:type="dxa"/>
            <w:right w:w="108" w:type="dxa"/>
          </w:tblCellMar>
        </w:tblPrEx>
        <w:trPr>
          <w:trHeight w:val="66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（万元）</w:t>
            </w:r>
          </w:p>
        </w:tc>
        <w:tc>
          <w:tcPr>
            <w:tcW w:w="2160" w:type="dxa"/>
            <w:gridSpan w:val="2"/>
            <w:vMerge w:val="continue"/>
            <w:tcBorders>
              <w:top w:val="nil"/>
              <w:left w:val="single" w:color="auto" w:sz="12" w:space="0"/>
              <w:bottom w:val="nil"/>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执行数</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gridSpan w:val="2"/>
            <w:vMerge w:val="continue"/>
            <w:tcBorders>
              <w:top w:val="nil"/>
              <w:left w:val="single" w:color="auto" w:sz="8" w:space="0"/>
              <w:bottom w:val="single" w:color="000000" w:sz="8" w:space="0"/>
              <w:right w:val="single" w:color="auto" w:sz="12" w:space="0"/>
            </w:tcBorders>
            <w:vAlign w:val="center"/>
          </w:tcPr>
          <w:p>
            <w:pPr>
              <w:widowControl/>
              <w:jc w:val="left"/>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年度资金总额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5.342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76.29%</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7.63</w:t>
            </w: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其中：当年财政拨款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r>
              <w:rPr>
                <w:rFonts w:cs="Times New Roman" w:asciiTheme="minorEastAsia" w:hAnsiTheme="minorEastAsia" w:eastAsiaTheme="minorEastAsia"/>
                <w:color w:val="000000"/>
                <w:kern w:val="0"/>
                <w:szCs w:val="21"/>
              </w:rPr>
              <w:t>5.342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Times New Roman" w:asciiTheme="minorEastAsia" w:hAnsiTheme="minorEastAsia" w:eastAsia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上年结转资金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51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其他资金</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720" w:hRule="atLeast"/>
        </w:trPr>
        <w:tc>
          <w:tcPr>
            <w:tcW w:w="940" w:type="dxa"/>
            <w:vMerge w:val="restart"/>
            <w:tcBorders>
              <w:top w:val="nil"/>
              <w:left w:val="single" w:color="auto" w:sz="12"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年度总体目标</w:t>
            </w:r>
          </w:p>
        </w:tc>
        <w:tc>
          <w:tcPr>
            <w:tcW w:w="432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预期目标</w:t>
            </w:r>
          </w:p>
        </w:tc>
        <w:tc>
          <w:tcPr>
            <w:tcW w:w="4320" w:type="dxa"/>
            <w:gridSpan w:val="5"/>
            <w:tcBorders>
              <w:top w:val="single" w:color="auto" w:sz="8" w:space="0"/>
              <w:left w:val="nil"/>
              <w:bottom w:val="single" w:color="auto" w:sz="8" w:space="0"/>
              <w:right w:val="single" w:color="000000"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实际完成情况　</w:t>
            </w:r>
          </w:p>
        </w:tc>
      </w:tr>
      <w:tr>
        <w:tblPrEx>
          <w:tblLayout w:type="fixed"/>
          <w:tblCellMar>
            <w:top w:w="0" w:type="dxa"/>
            <w:left w:w="108" w:type="dxa"/>
            <w:bottom w:w="0" w:type="dxa"/>
            <w:right w:w="108" w:type="dxa"/>
          </w:tblCellMar>
        </w:tblPrEx>
        <w:trPr>
          <w:trHeight w:val="1020" w:hRule="atLeast"/>
        </w:trPr>
        <w:tc>
          <w:tcPr>
            <w:tcW w:w="940" w:type="dxa"/>
            <w:vMerge w:val="continue"/>
            <w:tcBorders>
              <w:top w:val="nil"/>
              <w:left w:val="single" w:color="auto" w:sz="12"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432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通过开展生态监测，维护湿地公园及其周边的生态环境稳定，保护流域内生物多样性。</w:t>
            </w:r>
          </w:p>
        </w:tc>
        <w:tc>
          <w:tcPr>
            <w:tcW w:w="4320" w:type="dxa"/>
            <w:gridSpan w:val="5"/>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通过开展生态监测，维护湿地公园及其周边的生态环境稳定，保护流域内生物多样性。</w:t>
            </w: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绩</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一级指标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二级指标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三级指标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年度</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实际</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分值</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得分</w:t>
            </w:r>
          </w:p>
        </w:tc>
        <w:tc>
          <w:tcPr>
            <w:tcW w:w="1080" w:type="dxa"/>
            <w:gridSpan w:val="2"/>
            <w:tcBorders>
              <w:top w:val="nil"/>
              <w:left w:val="nil"/>
              <w:bottom w:val="nil"/>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偏差原因</w:t>
            </w: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效</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指标值</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完成值</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gridSpan w:val="2"/>
            <w:tcBorders>
              <w:top w:val="nil"/>
              <w:left w:val="nil"/>
              <w:bottom w:val="nil"/>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分析及</w:t>
            </w: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改进措施</w:t>
            </w:r>
          </w:p>
        </w:tc>
      </w:tr>
      <w:tr>
        <w:tblPrEx>
          <w:tblLayout w:type="fixed"/>
          <w:tblCellMar>
            <w:top w:w="0" w:type="dxa"/>
            <w:left w:w="108" w:type="dxa"/>
            <w:bottom w:w="0" w:type="dxa"/>
            <w:right w:w="108" w:type="dxa"/>
          </w:tblCellMar>
        </w:tblPrEx>
        <w:trPr>
          <w:trHeight w:val="57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成本指标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经济成</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经费控制额</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7万元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Times New Roman" w:asciiTheme="minorEastAsia" w:hAnsiTheme="minorEastAsia" w:eastAsiaTheme="minorEastAsia"/>
                <w:color w:val="000000"/>
                <w:kern w:val="0"/>
                <w:szCs w:val="21"/>
              </w:rPr>
              <w:t>5.342</w:t>
            </w:r>
            <w:r>
              <w:rPr>
                <w:rFonts w:cs="宋体" w:asciiTheme="minorEastAsia" w:hAnsiTheme="minorEastAsia" w:eastAsiaTheme="minorEastAsia"/>
                <w:color w:val="000000"/>
                <w:kern w:val="0"/>
                <w:sz w:val="24"/>
              </w:rPr>
              <w:t>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16</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社会成</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生态环境</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成本指标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r>
      <w:tr>
        <w:tblPrEx>
          <w:tblLayout w:type="fixed"/>
          <w:tblCellMar>
            <w:top w:w="0" w:type="dxa"/>
            <w:left w:w="108" w:type="dxa"/>
            <w:bottom w:w="0" w:type="dxa"/>
            <w:right w:w="108" w:type="dxa"/>
          </w:tblCellMar>
        </w:tblPrEx>
        <w:trPr>
          <w:trHeight w:val="55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产出指标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数量指标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完成支出总额</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7万元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Times New Roman" w:asciiTheme="minorEastAsia" w:hAnsiTheme="minorEastAsia" w:eastAsiaTheme="minorEastAsia"/>
                <w:color w:val="000000"/>
                <w:kern w:val="0"/>
                <w:szCs w:val="21"/>
              </w:rPr>
              <w:t>5.342</w:t>
            </w:r>
            <w:r>
              <w:rPr>
                <w:rFonts w:cs="宋体" w:asciiTheme="minorEastAsia" w:hAnsiTheme="minorEastAsia" w:eastAsiaTheme="minorEastAsia"/>
                <w:color w:val="000000"/>
                <w:kern w:val="0"/>
                <w:sz w:val="24"/>
              </w:rPr>
              <w:t>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16</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（40分）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质量指标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63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时效指标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做到及时实施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效益指标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经济效</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生态效</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63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社会效</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促进社会发展</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社会效益良好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社会效益良好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18</w:t>
            </w: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服务对象满意度指标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社会公众或服务对象满意度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》95%</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》95%</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240" w:firstLineChars="100"/>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10</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8</w:t>
            </w:r>
          </w:p>
        </w:tc>
        <w:tc>
          <w:tcPr>
            <w:tcW w:w="1080" w:type="dxa"/>
            <w:gridSpan w:val="2"/>
            <w:vMerge w:val="restart"/>
            <w:tcBorders>
              <w:top w:val="nil"/>
              <w:left w:val="single" w:color="auto" w:sz="8" w:space="0"/>
              <w:bottom w:val="single" w:color="000000"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指标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inorEastAsia" w:hAnsiTheme="minorEastAsia" w:eastAsiaTheme="minorEastAsia"/>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inorEastAsia" w:hAnsiTheme="minorEastAsia" w:eastAsiaTheme="minorEastAsia"/>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inorEastAsia" w:hAnsiTheme="minorEastAsia" w:eastAsiaTheme="min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vMerge w:val="continue"/>
            <w:tcBorders>
              <w:top w:val="nil"/>
              <w:left w:val="single" w:color="auto" w:sz="8" w:space="0"/>
              <w:bottom w:val="single" w:color="000000" w:sz="8" w:space="0"/>
              <w:right w:val="single" w:color="auto" w:sz="12" w:space="0"/>
            </w:tcBorders>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2"/>
                <w:szCs w:val="22"/>
              </w:rPr>
            </w:pPr>
            <w:r>
              <w:rPr>
                <w:rFonts w:cs="宋体" w:asciiTheme="minorEastAsia" w:hAnsiTheme="minorEastAsia" w:eastAsiaTheme="min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（10分）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c>
          <w:tcPr>
            <w:tcW w:w="1080" w:type="dxa"/>
            <w:gridSpan w:val="2"/>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r>
        <w:tblPrEx>
          <w:tblLayout w:type="fixed"/>
          <w:tblCellMar>
            <w:top w:w="0" w:type="dxa"/>
            <w:left w:w="108" w:type="dxa"/>
            <w:bottom w:w="0" w:type="dxa"/>
            <w:right w:w="108" w:type="dxa"/>
          </w:tblCellMar>
        </w:tblPrEx>
        <w:trPr>
          <w:trHeight w:val="420" w:hRule="atLeast"/>
        </w:trPr>
        <w:tc>
          <w:tcPr>
            <w:tcW w:w="6340" w:type="dxa"/>
            <w:gridSpan w:val="6"/>
            <w:tcBorders>
              <w:top w:val="single" w:color="auto" w:sz="8" w:space="0"/>
              <w:left w:val="single" w:color="auto" w:sz="12" w:space="0"/>
              <w:bottom w:val="single" w:color="auto" w:sz="12" w:space="0"/>
              <w:right w:val="single" w:color="000000"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总分</w:t>
            </w:r>
          </w:p>
        </w:tc>
        <w:tc>
          <w:tcPr>
            <w:tcW w:w="1080" w:type="dxa"/>
            <w:tcBorders>
              <w:top w:val="nil"/>
              <w:left w:val="nil"/>
              <w:bottom w:val="single" w:color="auto" w:sz="12" w:space="0"/>
              <w:right w:val="single" w:color="auto" w:sz="8"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100</w:t>
            </w:r>
          </w:p>
        </w:tc>
        <w:tc>
          <w:tcPr>
            <w:tcW w:w="1080" w:type="dxa"/>
            <w:tcBorders>
              <w:top w:val="nil"/>
              <w:left w:val="nil"/>
              <w:bottom w:val="single" w:color="auto" w:sz="12" w:space="0"/>
              <w:right w:val="single" w:color="auto" w:sz="8" w:space="0"/>
            </w:tcBorders>
            <w:shd w:val="clear" w:color="auto" w:fill="auto"/>
            <w:vAlign w:val="center"/>
          </w:tcPr>
          <w:p>
            <w:pPr>
              <w:widowControl/>
              <w:ind w:firstLine="120" w:firstLineChars="50"/>
              <w:jc w:val="center"/>
              <w:rPr>
                <w:rFonts w:hint="default"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85.63</w:t>
            </w:r>
          </w:p>
        </w:tc>
        <w:tc>
          <w:tcPr>
            <w:tcW w:w="1080" w:type="dxa"/>
            <w:gridSpan w:val="2"/>
            <w:tcBorders>
              <w:top w:val="nil"/>
              <w:left w:val="nil"/>
              <w:bottom w:val="single" w:color="auto" w:sz="12" w:space="0"/>
              <w:right w:val="single" w:color="auto" w:sz="12" w:space="0"/>
            </w:tcBorders>
            <w:shd w:val="clear" w:color="auto" w:fill="auto"/>
            <w:vAlign w:val="center"/>
          </w:tcPr>
          <w:p>
            <w:pPr>
              <w:widowControl/>
              <w:jc w:val="center"/>
              <w:rPr>
                <w:rFonts w:hint="default" w:cs="宋体" w:asciiTheme="minorEastAsia" w:hAnsiTheme="minorEastAsia" w:eastAsiaTheme="minorEastAsia"/>
                <w:color w:val="000000"/>
                <w:kern w:val="0"/>
                <w:sz w:val="24"/>
              </w:rPr>
            </w:pP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Theme="minorEastAsia" w:hAnsiTheme="minorEastAsia" w:eastAsiaTheme="minorEastAsia"/>
          <w:kern w:val="0"/>
        </w:rPr>
      </w:pPr>
      <w:r>
        <w:rPr>
          <w:rFonts w:asciiTheme="minorEastAsia" w:hAnsiTheme="minorEastAsia" w:eastAsiaTheme="minorEastAsia" w:cstheme="minorEastAsia"/>
          <w:sz w:val="24"/>
        </w:rPr>
        <w:t>单位负责人签字：</w:t>
      </w:r>
      <w:r>
        <w:rPr>
          <w:rFonts w:asciiTheme="minorEastAsia" w:hAnsiTheme="minorEastAsia" w:eastAsiaTheme="minorEastAsia"/>
          <w:kern w:val="0"/>
        </w:rPr>
        <w:t>刘兴国</w:t>
      </w:r>
    </w:p>
    <w:p>
      <w:pPr>
        <w:spacing w:line="600" w:lineRule="exact"/>
        <w:jc w:val="left"/>
        <w:rPr>
          <w:rFonts w:hint="default" w:cs="黑体" w:asciiTheme="minorEastAsia" w:hAnsiTheme="minorEastAsia" w:eastAsiaTheme="minorEastAsia"/>
          <w:sz w:val="32"/>
          <w:szCs w:val="32"/>
        </w:rPr>
      </w:pPr>
    </w:p>
    <w:p>
      <w:pPr>
        <w:spacing w:line="600" w:lineRule="exact"/>
        <w:jc w:val="left"/>
        <w:rPr>
          <w:rFonts w:hint="default" w:cs="黑体" w:asciiTheme="minorEastAsia" w:hAnsiTheme="minorEastAsia" w:eastAsiaTheme="minorEastAsia"/>
          <w:sz w:val="32"/>
          <w:szCs w:val="32"/>
        </w:rPr>
      </w:pPr>
    </w:p>
    <w:p>
      <w:pPr>
        <w:spacing w:line="600" w:lineRule="exact"/>
        <w:jc w:val="left"/>
        <w:rPr>
          <w:rFonts w:hint="default" w:ascii="黑体" w:hAnsi="黑体" w:eastAsia="黑体" w:cs="黑体"/>
          <w:sz w:val="32"/>
          <w:szCs w:val="32"/>
        </w:rPr>
      </w:pPr>
    </w:p>
    <w:p>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pPr>
        <w:spacing w:line="600" w:lineRule="exact"/>
        <w:ind w:firstLine="1320" w:firstLineChars="300"/>
        <w:jc w:val="left"/>
        <w:rPr>
          <w:rFonts w:hint="default" w:cs="黑体" w:asciiTheme="minorEastAsia" w:hAnsiTheme="minorEastAsia" w:eastAsiaTheme="minorEastAsia"/>
          <w:sz w:val="32"/>
          <w:szCs w:val="32"/>
        </w:rPr>
      </w:pPr>
      <w:r>
        <w:rPr>
          <w:rFonts w:cs="宋体" w:asciiTheme="minorEastAsia" w:hAnsiTheme="minorEastAsia" w:eastAsiaTheme="minorEastAsia"/>
          <w:color w:val="000000"/>
          <w:kern w:val="0"/>
          <w:sz w:val="44"/>
          <w:szCs w:val="44"/>
        </w:rPr>
        <w:t>2023年度项目支出绩效自评表</w:t>
      </w:r>
    </w:p>
    <w:tbl>
      <w:tblPr>
        <w:tblStyle w:val="8"/>
        <w:tblW w:w="9580" w:type="dxa"/>
        <w:tblInd w:w="93" w:type="dxa"/>
        <w:tblLayout w:type="fixed"/>
        <w:tblCellMar>
          <w:top w:w="0" w:type="dxa"/>
          <w:left w:w="108" w:type="dxa"/>
          <w:bottom w:w="0" w:type="dxa"/>
          <w:right w:w="108" w:type="dxa"/>
        </w:tblCellMar>
      </w:tblPr>
      <w:tblGrid>
        <w:gridCol w:w="940"/>
        <w:gridCol w:w="1080"/>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600" w:hRule="atLeast"/>
        </w:trPr>
        <w:tc>
          <w:tcPr>
            <w:tcW w:w="940" w:type="dxa"/>
            <w:tcBorders>
              <w:top w:val="single" w:color="auto" w:sz="12" w:space="0"/>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项目支</w:t>
            </w:r>
          </w:p>
        </w:tc>
        <w:tc>
          <w:tcPr>
            <w:tcW w:w="8640" w:type="dxa"/>
            <w:gridSpan w:val="8"/>
            <w:vMerge w:val="restart"/>
            <w:tcBorders>
              <w:top w:val="single" w:color="auto" w:sz="12" w:space="0"/>
              <w:left w:val="single" w:color="auto" w:sz="8" w:space="0"/>
              <w:bottom w:val="single" w:color="000000" w:sz="8" w:space="0"/>
              <w:right w:val="single" w:color="000000" w:sz="12"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科普宣教</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出名称</w:t>
            </w:r>
          </w:p>
        </w:tc>
        <w:tc>
          <w:tcPr>
            <w:tcW w:w="8640" w:type="dxa"/>
            <w:gridSpan w:val="8"/>
            <w:vMerge w:val="continue"/>
            <w:tcBorders>
              <w:top w:val="nil"/>
              <w:left w:val="single" w:color="auto" w:sz="12" w:space="0"/>
              <w:bottom w:val="single" w:color="auto" w:sz="8" w:space="0"/>
              <w:right w:val="single" w:color="auto" w:sz="8" w:space="0"/>
            </w:tcBorders>
            <w:vAlign w:val="center"/>
          </w:tcPr>
          <w:p>
            <w:pPr>
              <w:widowControl/>
              <w:jc w:val="left"/>
              <w:rPr>
                <w:rFonts w:hint="default" w:cs="宋体" w:asciiTheme="majorEastAsia" w:hAnsiTheme="majorEastAsia" w:eastAsiaTheme="majorEastAsia"/>
                <w:color w:val="000000"/>
                <w:kern w:val="0"/>
                <w:szCs w:val="21"/>
              </w:rPr>
            </w:pPr>
          </w:p>
        </w:tc>
      </w:tr>
      <w:tr>
        <w:tblPrEx>
          <w:tblLayout w:type="fixed"/>
          <w:tblCellMar>
            <w:top w:w="0" w:type="dxa"/>
            <w:left w:w="108" w:type="dxa"/>
            <w:bottom w:w="0" w:type="dxa"/>
            <w:right w:w="108" w:type="dxa"/>
          </w:tblCellMar>
        </w:tblPrEx>
        <w:trPr>
          <w:trHeight w:val="69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主管部门</w:t>
            </w:r>
          </w:p>
        </w:tc>
        <w:tc>
          <w:tcPr>
            <w:tcW w:w="432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实施单位</w:t>
            </w:r>
          </w:p>
        </w:tc>
        <w:tc>
          <w:tcPr>
            <w:tcW w:w="3240" w:type="dxa"/>
            <w:gridSpan w:val="3"/>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r>
              <w:rPr>
                <w:rFonts w:cs="宋体" w:asciiTheme="majorEastAsia" w:hAnsiTheme="majorEastAsia" w:eastAsiaTheme="majorEastAsia"/>
                <w:color w:val="000000"/>
                <w:kern w:val="0"/>
                <w:szCs w:val="21"/>
              </w:rPr>
              <w:t>双牌县日月湖国家湿地公园管理中心</w:t>
            </w: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项目资金</w:t>
            </w:r>
          </w:p>
        </w:tc>
        <w:tc>
          <w:tcPr>
            <w:tcW w:w="21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年初</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全年</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全年</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分值</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执行率</w:t>
            </w:r>
          </w:p>
        </w:tc>
        <w:tc>
          <w:tcPr>
            <w:tcW w:w="1080" w:type="dxa"/>
            <w:vMerge w:val="restart"/>
            <w:tcBorders>
              <w:top w:val="nil"/>
              <w:left w:val="single" w:color="auto" w:sz="8" w:space="0"/>
              <w:bottom w:val="single" w:color="000000"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得分</w:t>
            </w: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（万元）</w:t>
            </w:r>
          </w:p>
        </w:tc>
        <w:tc>
          <w:tcPr>
            <w:tcW w:w="2160" w:type="dxa"/>
            <w:gridSpan w:val="2"/>
            <w:vMerge w:val="continue"/>
            <w:tcBorders>
              <w:top w:val="nil"/>
              <w:left w:val="single" w:color="auto" w:sz="12" w:space="0"/>
              <w:bottom w:val="nil"/>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预算数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执行数</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12" w:space="0"/>
            </w:tcBorders>
            <w:vAlign w:val="center"/>
          </w:tcPr>
          <w:p>
            <w:pPr>
              <w:widowControl/>
              <w:jc w:val="left"/>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年度资金总额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10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100%</w:t>
            </w:r>
          </w:p>
        </w:tc>
        <w:tc>
          <w:tcPr>
            <w:tcW w:w="1080" w:type="dxa"/>
            <w:tcBorders>
              <w:top w:val="nil"/>
              <w:left w:val="nil"/>
              <w:bottom w:val="single" w:color="auto" w:sz="8" w:space="0"/>
              <w:right w:val="single" w:color="auto" w:sz="12" w:space="0"/>
            </w:tcBorders>
            <w:shd w:val="clear" w:color="auto" w:fill="auto"/>
            <w:vAlign w:val="center"/>
          </w:tcPr>
          <w:p>
            <w:pPr>
              <w:widowControl/>
              <w:ind w:firstLine="210" w:firstLineChars="100"/>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10</w:t>
            </w: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其中：当年财政拨款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p>
        </w:tc>
      </w:tr>
      <w:tr>
        <w:tblPrEx>
          <w:tblLayout w:type="fixed"/>
          <w:tblCellMar>
            <w:top w:w="0" w:type="dxa"/>
            <w:left w:w="108" w:type="dxa"/>
            <w:bottom w:w="0" w:type="dxa"/>
            <w:right w:w="108" w:type="dxa"/>
          </w:tblCellMar>
        </w:tblPrEx>
        <w:trPr>
          <w:trHeight w:val="34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上年结转资金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其他资金</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645" w:hRule="atLeast"/>
        </w:trPr>
        <w:tc>
          <w:tcPr>
            <w:tcW w:w="940" w:type="dxa"/>
            <w:vMerge w:val="restart"/>
            <w:tcBorders>
              <w:top w:val="nil"/>
              <w:left w:val="single" w:color="auto" w:sz="12"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年度总体目标</w:t>
            </w:r>
          </w:p>
        </w:tc>
        <w:tc>
          <w:tcPr>
            <w:tcW w:w="432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预期目标</w:t>
            </w:r>
          </w:p>
        </w:tc>
        <w:tc>
          <w:tcPr>
            <w:tcW w:w="432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实际完成情况　</w:t>
            </w:r>
          </w:p>
        </w:tc>
      </w:tr>
      <w:tr>
        <w:tblPrEx>
          <w:tblLayout w:type="fixed"/>
          <w:tblCellMar>
            <w:top w:w="0" w:type="dxa"/>
            <w:left w:w="108" w:type="dxa"/>
            <w:bottom w:w="0" w:type="dxa"/>
            <w:right w:w="108" w:type="dxa"/>
          </w:tblCellMar>
        </w:tblPrEx>
        <w:trPr>
          <w:trHeight w:val="1020" w:hRule="atLeast"/>
        </w:trPr>
        <w:tc>
          <w:tcPr>
            <w:tcW w:w="940" w:type="dxa"/>
            <w:vMerge w:val="continue"/>
            <w:tcBorders>
              <w:top w:val="nil"/>
              <w:left w:val="single" w:color="auto" w:sz="12"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432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通过开展形式丰富的科普宣教活动，提高民众的湿地保护意识，从而自发地参与到湿地保护建设中来。</w:t>
            </w:r>
          </w:p>
        </w:tc>
        <w:tc>
          <w:tcPr>
            <w:tcW w:w="4320" w:type="dxa"/>
            <w:gridSpan w:val="4"/>
            <w:tcBorders>
              <w:top w:val="single" w:color="auto" w:sz="8" w:space="0"/>
              <w:left w:val="nil"/>
              <w:bottom w:val="single" w:color="auto" w:sz="8" w:space="0"/>
              <w:right w:val="single" w:color="000000" w:sz="12" w:space="0"/>
            </w:tcBorders>
            <w:shd w:val="clear" w:color="auto" w:fill="auto"/>
            <w:vAlign w:val="center"/>
          </w:tcPr>
          <w:p>
            <w:pPr>
              <w:widowControl/>
              <w:jc w:val="left"/>
              <w:rPr>
                <w:rFonts w:hint="default"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通过开展形式丰富的科普宣教活动，提高民众的湿地保护意识，从而自发地参与到湿地保护建设中来。</w:t>
            </w:r>
          </w:p>
        </w:tc>
      </w:tr>
      <w:tr>
        <w:tblPrEx>
          <w:tblLayout w:type="fixed"/>
          <w:tblCellMar>
            <w:top w:w="0" w:type="dxa"/>
            <w:left w:w="108" w:type="dxa"/>
            <w:bottom w:w="0" w:type="dxa"/>
            <w:right w:w="108" w:type="dxa"/>
          </w:tblCellMar>
        </w:tblPrEx>
        <w:trPr>
          <w:trHeight w:val="495"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绩</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一级指标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二级指标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三级指标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年度</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实际</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分值</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得分</w:t>
            </w:r>
          </w:p>
        </w:tc>
        <w:tc>
          <w:tcPr>
            <w:tcW w:w="1080" w:type="dxa"/>
            <w:tcBorders>
              <w:top w:val="nil"/>
              <w:left w:val="nil"/>
              <w:bottom w:val="nil"/>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偏差原因</w:t>
            </w:r>
          </w:p>
        </w:tc>
      </w:tr>
      <w:tr>
        <w:tblPrEx>
          <w:tblLayout w:type="fixed"/>
          <w:tblCellMar>
            <w:top w:w="0" w:type="dxa"/>
            <w:left w:w="108" w:type="dxa"/>
            <w:bottom w:w="0" w:type="dxa"/>
            <w:right w:w="108" w:type="dxa"/>
          </w:tblCellMar>
        </w:tblPrEx>
        <w:trPr>
          <w:trHeight w:val="495"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效</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指标值</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完成值</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nil"/>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分析及</w:t>
            </w:r>
          </w:p>
        </w:tc>
      </w:tr>
      <w:tr>
        <w:tblPrEx>
          <w:tblLayout w:type="fixed"/>
          <w:tblCellMar>
            <w:top w:w="0" w:type="dxa"/>
            <w:left w:w="108" w:type="dxa"/>
            <w:bottom w:w="0" w:type="dxa"/>
            <w:right w:w="108" w:type="dxa"/>
          </w:tblCellMar>
        </w:tblPrEx>
        <w:trPr>
          <w:trHeight w:val="495"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改进措施</w:t>
            </w:r>
          </w:p>
        </w:tc>
      </w:tr>
      <w:tr>
        <w:tblPrEx>
          <w:tblLayout w:type="fixed"/>
          <w:tblCellMar>
            <w:top w:w="0" w:type="dxa"/>
            <w:left w:w="108" w:type="dxa"/>
            <w:bottom w:w="0" w:type="dxa"/>
            <w:right w:w="108" w:type="dxa"/>
          </w:tblCellMar>
        </w:tblPrEx>
        <w:trPr>
          <w:trHeight w:val="840" w:hRule="atLeast"/>
        </w:trPr>
        <w:tc>
          <w:tcPr>
            <w:tcW w:w="940" w:type="dxa"/>
            <w:tcBorders>
              <w:top w:val="nil"/>
              <w:left w:val="single" w:color="auto" w:sz="12" w:space="0"/>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成本指标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经济成</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经费控制额</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社会成</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12"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r>
      <w:tr>
        <w:tblPrEx>
          <w:tblLayout w:type="fixed"/>
          <w:tblCellMar>
            <w:top w:w="0" w:type="dxa"/>
            <w:left w:w="108" w:type="dxa"/>
            <w:bottom w:w="0" w:type="dxa"/>
            <w:right w:w="108" w:type="dxa"/>
          </w:tblCellMar>
        </w:tblPrEx>
        <w:trPr>
          <w:trHeight w:val="5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生态环境</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12"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r>
      <w:tr>
        <w:tblPrEx>
          <w:tblLayout w:type="fixed"/>
          <w:tblCellMar>
            <w:top w:w="0" w:type="dxa"/>
            <w:left w:w="108" w:type="dxa"/>
            <w:bottom w:w="0" w:type="dxa"/>
            <w:right w:w="108" w:type="dxa"/>
          </w:tblCellMar>
        </w:tblPrEx>
        <w:trPr>
          <w:trHeight w:val="5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成本指标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12"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r>
      <w:tr>
        <w:tblPrEx>
          <w:tblLayout w:type="fixed"/>
          <w:tblCellMar>
            <w:top w:w="0" w:type="dxa"/>
            <w:left w:w="108" w:type="dxa"/>
            <w:bottom w:w="0" w:type="dxa"/>
            <w:right w:w="108" w:type="dxa"/>
          </w:tblCellMar>
        </w:tblPrEx>
        <w:trPr>
          <w:trHeight w:val="8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产出指标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数量指标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完成支出总额</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2万元</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55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（40分）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317"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质量指标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32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8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时效指标</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做到及时实施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383"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效益指标</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经济效</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43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（20分）</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359"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生态效</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615"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84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社会效</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促进社会发展</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社会效益良好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社会效益良好</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18</w:t>
            </w: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45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益指标</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45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服务对象满意度指标</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社会公众或服务对象满意度</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》95%</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》95%</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10</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8</w:t>
            </w:r>
          </w:p>
        </w:tc>
        <w:tc>
          <w:tcPr>
            <w:tcW w:w="1080" w:type="dxa"/>
            <w:vMerge w:val="restart"/>
            <w:tcBorders>
              <w:top w:val="nil"/>
              <w:left w:val="single" w:color="auto" w:sz="8" w:space="0"/>
              <w:bottom w:val="single" w:color="000000"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450" w:hRule="atLeast"/>
        </w:trPr>
        <w:tc>
          <w:tcPr>
            <w:tcW w:w="940" w:type="dxa"/>
            <w:tcBorders>
              <w:top w:val="nil"/>
              <w:left w:val="single" w:color="auto" w:sz="12" w:space="0"/>
              <w:bottom w:val="nil"/>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nil"/>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指标</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ajorEastAsia" w:hAnsiTheme="majorEastAsia" w:eastAsiaTheme="majorEastAsia"/>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ajorEastAsia" w:hAnsiTheme="majorEastAsia" w:eastAsiaTheme="majorEastAsia"/>
                <w:color w:val="000000"/>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default" w:cs="宋体" w:asciiTheme="majorEastAsia" w:hAnsiTheme="majorEastAsia" w:eastAsiaTheme="majorEastAsia"/>
                <w:color w:val="000000"/>
                <w:kern w:val="0"/>
                <w:sz w:val="24"/>
              </w:rPr>
            </w:pPr>
          </w:p>
        </w:tc>
        <w:tc>
          <w:tcPr>
            <w:tcW w:w="1080" w:type="dxa"/>
            <w:vMerge w:val="continue"/>
            <w:tcBorders>
              <w:top w:val="nil"/>
              <w:left w:val="single" w:color="auto" w:sz="8" w:space="0"/>
              <w:bottom w:val="single" w:color="000000" w:sz="8" w:space="0"/>
              <w:right w:val="single" w:color="auto" w:sz="12" w:space="0"/>
            </w:tcBorders>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450" w:hRule="atLeast"/>
        </w:trPr>
        <w:tc>
          <w:tcPr>
            <w:tcW w:w="940" w:type="dxa"/>
            <w:tcBorders>
              <w:top w:val="nil"/>
              <w:left w:val="single" w:color="auto" w:sz="12" w:space="0"/>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2"/>
                <w:szCs w:val="22"/>
              </w:rPr>
            </w:pPr>
            <w:r>
              <w:rPr>
                <w:rFonts w:cs="宋体" w:asciiTheme="majorEastAsia" w:hAnsiTheme="majorEastAsia" w:eastAsiaTheme="majorEastAsia"/>
                <w:color w:val="000000"/>
                <w:kern w:val="0"/>
                <w:sz w:val="22"/>
                <w:szCs w:val="22"/>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（10分）</w:t>
            </w: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c>
          <w:tcPr>
            <w:tcW w:w="1080" w:type="dxa"/>
            <w:tcBorders>
              <w:top w:val="nil"/>
              <w:left w:val="nil"/>
              <w:bottom w:val="single" w:color="auto" w:sz="8"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r>
        <w:tblPrEx>
          <w:tblLayout w:type="fixed"/>
          <w:tblCellMar>
            <w:top w:w="0" w:type="dxa"/>
            <w:left w:w="108" w:type="dxa"/>
            <w:bottom w:w="0" w:type="dxa"/>
            <w:right w:w="108" w:type="dxa"/>
          </w:tblCellMar>
        </w:tblPrEx>
        <w:trPr>
          <w:trHeight w:val="450" w:hRule="atLeast"/>
        </w:trPr>
        <w:tc>
          <w:tcPr>
            <w:tcW w:w="6340" w:type="dxa"/>
            <w:gridSpan w:val="6"/>
            <w:tcBorders>
              <w:top w:val="single" w:color="auto" w:sz="8" w:space="0"/>
              <w:left w:val="single" w:color="auto" w:sz="12" w:space="0"/>
              <w:bottom w:val="single" w:color="auto" w:sz="12" w:space="0"/>
              <w:right w:val="single" w:color="000000"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总分</w:t>
            </w:r>
          </w:p>
        </w:tc>
        <w:tc>
          <w:tcPr>
            <w:tcW w:w="1080" w:type="dxa"/>
            <w:tcBorders>
              <w:top w:val="nil"/>
              <w:left w:val="nil"/>
              <w:bottom w:val="single" w:color="auto" w:sz="12"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100</w:t>
            </w:r>
          </w:p>
        </w:tc>
        <w:tc>
          <w:tcPr>
            <w:tcW w:w="1080" w:type="dxa"/>
            <w:tcBorders>
              <w:top w:val="nil"/>
              <w:left w:val="nil"/>
              <w:bottom w:val="single" w:color="auto" w:sz="12" w:space="0"/>
              <w:right w:val="single" w:color="auto" w:sz="8"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96</w:t>
            </w:r>
          </w:p>
        </w:tc>
        <w:tc>
          <w:tcPr>
            <w:tcW w:w="1080" w:type="dxa"/>
            <w:tcBorders>
              <w:top w:val="nil"/>
              <w:left w:val="nil"/>
              <w:bottom w:val="single" w:color="auto" w:sz="12" w:space="0"/>
              <w:right w:val="single" w:color="auto" w:sz="12" w:space="0"/>
            </w:tcBorders>
            <w:shd w:val="clear" w:color="auto" w:fill="auto"/>
            <w:vAlign w:val="center"/>
          </w:tcPr>
          <w:p>
            <w:pPr>
              <w:widowControl/>
              <w:jc w:val="center"/>
              <w:rPr>
                <w:rFonts w:hint="default" w:cs="宋体" w:asciiTheme="majorEastAsia" w:hAnsiTheme="majorEastAsia" w:eastAsiaTheme="majorEastAsia"/>
                <w:color w:val="000000"/>
                <w:kern w:val="0"/>
                <w:sz w:val="24"/>
              </w:rPr>
            </w:pP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widowControl/>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填表人：刘苏玲     填报日期：2024.4.12  联系电话：7721608 </w:t>
      </w:r>
    </w:p>
    <w:p>
      <w:pPr>
        <w:widowControl/>
        <w:jc w:val="left"/>
        <w:rPr>
          <w:rFonts w:hint="default" w:asciiTheme="minorEastAsia" w:hAnsiTheme="minorEastAsia" w:eastAsiaTheme="minorEastAsia"/>
          <w:kern w:val="0"/>
        </w:rPr>
      </w:pPr>
      <w:r>
        <w:rPr>
          <w:rFonts w:asciiTheme="minorEastAsia" w:hAnsiTheme="minorEastAsia" w:eastAsiaTheme="minorEastAsia" w:cstheme="minorEastAsia"/>
          <w:sz w:val="24"/>
        </w:rPr>
        <w:t>单位负责人签字：</w:t>
      </w:r>
      <w:r>
        <w:rPr>
          <w:rFonts w:asciiTheme="minorEastAsia" w:hAnsiTheme="minorEastAsia" w:eastAsiaTheme="minorEastAsia"/>
          <w:kern w:val="0"/>
        </w:rPr>
        <w:t>刘兴国</w:t>
      </w:r>
    </w:p>
    <w:p>
      <w:pPr>
        <w:spacing w:line="600" w:lineRule="exact"/>
        <w:jc w:val="left"/>
        <w:rPr>
          <w:rFonts w:hint="default" w:cs="黑体" w:asciiTheme="minorEastAsia" w:hAnsiTheme="minorEastAsia" w:eastAsiaTheme="minorEastAsia"/>
          <w:sz w:val="32"/>
          <w:szCs w:val="32"/>
        </w:rPr>
      </w:pPr>
    </w:p>
    <w:p>
      <w:pPr>
        <w:rPr>
          <w:rFonts w:hint="default"/>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t xml:space="preserve">第 </w:t>
                </w:r>
                <w:r>
                  <w:fldChar w:fldCharType="begin"/>
                </w:r>
                <w:r>
                  <w:instrText xml:space="preserve"> PAGE  \* MERGEFORMAT </w:instrText>
                </w:r>
                <w:r>
                  <w:fldChar w:fldCharType="separate"/>
                </w:r>
                <w:r>
                  <w:rPr>
                    <w:rFonts w:hint="default"/>
                  </w:rPr>
                  <w:t>15</w:t>
                </w:r>
                <w:r>
                  <w:rPr>
                    <w:rFonts w:hint="default"/>
                  </w:rPr>
                  <w:fldChar w:fldCharType="end"/>
                </w:r>
                <w:r>
                  <w:t xml:space="preserve"> 页 共 </w:t>
                </w:r>
                <w:r>
                  <w:fldChar w:fldCharType="begin"/>
                </w:r>
                <w:r>
                  <w:instrText xml:space="preserve"> NUMPAGES  \* MERGEFORMAT </w:instrText>
                </w:r>
                <w:r>
                  <w:fldChar w:fldCharType="separate"/>
                </w:r>
                <w:r>
                  <w:rPr>
                    <w:rFonts w:hint="default"/>
                  </w:rPr>
                  <w:t>30</w:t>
                </w:r>
                <w:r>
                  <w:rPr>
                    <w:rFonts w:hint="default"/>
                  </w:rPr>
                  <w:fldChar w:fldCharType="end"/>
                </w:r>
                <w:r>
                  <w:t xml:space="preserve"> 页</w:t>
                </w:r>
              </w:p>
            </w:txbxContent>
          </v:textbox>
        </v:shape>
      </w:pict>
    </w:r>
  </w:p>
  <w:p>
    <w:pPr>
      <w:pStyle w:val="4"/>
      <w:framePr w:wrap="auto" w:vAnchor="margin" w:hAnchor="text" w:xAlign="left" w:yAlign="inline"/>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t xml:space="preserve">第 </w:t>
                </w:r>
                <w:r>
                  <w:fldChar w:fldCharType="begin"/>
                </w:r>
                <w:r>
                  <w:instrText xml:space="preserve"> PAGE  \* MERGEFORMAT </w:instrText>
                </w:r>
                <w:r>
                  <w:fldChar w:fldCharType="separate"/>
                </w:r>
                <w:r>
                  <w:rPr>
                    <w:rFonts w:hint="default"/>
                  </w:rPr>
                  <w:t>16</w:t>
                </w:r>
                <w:r>
                  <w:rPr>
                    <w:rFonts w:hint="default"/>
                  </w:rPr>
                  <w:fldChar w:fldCharType="end"/>
                </w:r>
                <w:r>
                  <w:t xml:space="preserve"> 页 共 </w:t>
                </w:r>
                <w:r>
                  <w:fldChar w:fldCharType="begin"/>
                </w:r>
                <w:r>
                  <w:instrText xml:space="preserve"> NUMPAGES  \* MERGEFORMAT </w:instrText>
                </w:r>
                <w:r>
                  <w:fldChar w:fldCharType="separate"/>
                </w:r>
                <w:r>
                  <w:rPr>
                    <w:rFonts w:hint="default"/>
                  </w:rPr>
                  <w:t>30</w:t>
                </w:r>
                <w:r>
                  <w:rPr>
                    <w:rFonts w:hint="default"/>
                  </w:rP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6D7DAA"/>
    <w:multiLevelType w:val="singleLevel"/>
    <w:tmpl w:val="E46D7DAA"/>
    <w:lvl w:ilvl="0" w:tentative="0">
      <w:start w:val="3"/>
      <w:numFmt w:val="chineseCounting"/>
      <w:suff w:val="nothing"/>
      <w:lvlText w:val="%1、"/>
      <w:lvlJc w:val="left"/>
      <w:rPr>
        <w:rFonts w:hint="eastAsia"/>
      </w:rPr>
    </w:lvl>
  </w:abstractNum>
  <w:abstractNum w:abstractNumId="1">
    <w:nsid w:val="2DBF1EF5"/>
    <w:multiLevelType w:val="singleLevel"/>
    <w:tmpl w:val="2DBF1EF5"/>
    <w:lvl w:ilvl="0" w:tentative="0">
      <w:start w:val="1"/>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3OWY4ZTMyODBkODM2Yjc3MTA5NDg1NzJmZjAxN2UifQ=="/>
  </w:docVars>
  <w:rsids>
    <w:rsidRoot w:val="00172A27"/>
    <w:rsid w:val="00005E31"/>
    <w:rsid w:val="00020A28"/>
    <w:rsid w:val="000A5DEC"/>
    <w:rsid w:val="000A7C04"/>
    <w:rsid w:val="000B7A49"/>
    <w:rsid w:val="000C3DA7"/>
    <w:rsid w:val="000D6E6A"/>
    <w:rsid w:val="000F50DD"/>
    <w:rsid w:val="000F7C1C"/>
    <w:rsid w:val="001008EC"/>
    <w:rsid w:val="00107502"/>
    <w:rsid w:val="0011218F"/>
    <w:rsid w:val="001200F8"/>
    <w:rsid w:val="0012295C"/>
    <w:rsid w:val="00127626"/>
    <w:rsid w:val="00135933"/>
    <w:rsid w:val="00172A27"/>
    <w:rsid w:val="001C409B"/>
    <w:rsid w:val="001C47F1"/>
    <w:rsid w:val="001D5F49"/>
    <w:rsid w:val="001E3367"/>
    <w:rsid w:val="001F432D"/>
    <w:rsid w:val="00204E8E"/>
    <w:rsid w:val="00234E2D"/>
    <w:rsid w:val="00240E0D"/>
    <w:rsid w:val="00250147"/>
    <w:rsid w:val="00255528"/>
    <w:rsid w:val="00255FC7"/>
    <w:rsid w:val="00274072"/>
    <w:rsid w:val="00285085"/>
    <w:rsid w:val="002C79C0"/>
    <w:rsid w:val="002D2677"/>
    <w:rsid w:val="002E08B6"/>
    <w:rsid w:val="002E44CE"/>
    <w:rsid w:val="002F5DE8"/>
    <w:rsid w:val="003436F0"/>
    <w:rsid w:val="003442F2"/>
    <w:rsid w:val="003466ED"/>
    <w:rsid w:val="003945B5"/>
    <w:rsid w:val="003C553D"/>
    <w:rsid w:val="003D1B24"/>
    <w:rsid w:val="003E791A"/>
    <w:rsid w:val="003F4225"/>
    <w:rsid w:val="003F469F"/>
    <w:rsid w:val="00404A3A"/>
    <w:rsid w:val="00445270"/>
    <w:rsid w:val="00496F20"/>
    <w:rsid w:val="004C2780"/>
    <w:rsid w:val="004D738C"/>
    <w:rsid w:val="004F7EE5"/>
    <w:rsid w:val="00561216"/>
    <w:rsid w:val="005A436F"/>
    <w:rsid w:val="005B5814"/>
    <w:rsid w:val="005D50DD"/>
    <w:rsid w:val="005E22C1"/>
    <w:rsid w:val="006478B4"/>
    <w:rsid w:val="006B00BB"/>
    <w:rsid w:val="006B0B08"/>
    <w:rsid w:val="006E3377"/>
    <w:rsid w:val="0070301E"/>
    <w:rsid w:val="0070780C"/>
    <w:rsid w:val="00710787"/>
    <w:rsid w:val="007418C0"/>
    <w:rsid w:val="00771834"/>
    <w:rsid w:val="007724AE"/>
    <w:rsid w:val="007B1007"/>
    <w:rsid w:val="007D40F7"/>
    <w:rsid w:val="007E0D64"/>
    <w:rsid w:val="007E0EB8"/>
    <w:rsid w:val="00806915"/>
    <w:rsid w:val="00807137"/>
    <w:rsid w:val="00823110"/>
    <w:rsid w:val="00840696"/>
    <w:rsid w:val="00843A64"/>
    <w:rsid w:val="00874254"/>
    <w:rsid w:val="008817F6"/>
    <w:rsid w:val="00884FB2"/>
    <w:rsid w:val="00895370"/>
    <w:rsid w:val="008A2607"/>
    <w:rsid w:val="008A4E13"/>
    <w:rsid w:val="008C01BC"/>
    <w:rsid w:val="008C693F"/>
    <w:rsid w:val="00954FF2"/>
    <w:rsid w:val="00970576"/>
    <w:rsid w:val="00982232"/>
    <w:rsid w:val="009B2181"/>
    <w:rsid w:val="009B30F5"/>
    <w:rsid w:val="009C3F35"/>
    <w:rsid w:val="009C5302"/>
    <w:rsid w:val="009C7BC2"/>
    <w:rsid w:val="009E26E6"/>
    <w:rsid w:val="009F187E"/>
    <w:rsid w:val="009F342D"/>
    <w:rsid w:val="009F5F77"/>
    <w:rsid w:val="009F66CC"/>
    <w:rsid w:val="00A03D6B"/>
    <w:rsid w:val="00A22980"/>
    <w:rsid w:val="00A45E11"/>
    <w:rsid w:val="00A62D88"/>
    <w:rsid w:val="00A6503E"/>
    <w:rsid w:val="00A900F5"/>
    <w:rsid w:val="00A93E5D"/>
    <w:rsid w:val="00A95013"/>
    <w:rsid w:val="00AA702A"/>
    <w:rsid w:val="00AA7A99"/>
    <w:rsid w:val="00AB224D"/>
    <w:rsid w:val="00B003A6"/>
    <w:rsid w:val="00B25DE0"/>
    <w:rsid w:val="00B5573D"/>
    <w:rsid w:val="00B7541D"/>
    <w:rsid w:val="00B876A9"/>
    <w:rsid w:val="00BF3B1B"/>
    <w:rsid w:val="00C36104"/>
    <w:rsid w:val="00C4220D"/>
    <w:rsid w:val="00C531D3"/>
    <w:rsid w:val="00C54AC3"/>
    <w:rsid w:val="00C65512"/>
    <w:rsid w:val="00C7461E"/>
    <w:rsid w:val="00CA11F6"/>
    <w:rsid w:val="00CA47CF"/>
    <w:rsid w:val="00CB69D6"/>
    <w:rsid w:val="00CD288C"/>
    <w:rsid w:val="00CD2F3D"/>
    <w:rsid w:val="00CF0976"/>
    <w:rsid w:val="00CF2E5C"/>
    <w:rsid w:val="00D02312"/>
    <w:rsid w:val="00D32DD4"/>
    <w:rsid w:val="00D413FC"/>
    <w:rsid w:val="00D50C46"/>
    <w:rsid w:val="00D8064C"/>
    <w:rsid w:val="00D97403"/>
    <w:rsid w:val="00DB5001"/>
    <w:rsid w:val="00DB6A37"/>
    <w:rsid w:val="00DC3F90"/>
    <w:rsid w:val="00DC63E8"/>
    <w:rsid w:val="00E10363"/>
    <w:rsid w:val="00E91FEC"/>
    <w:rsid w:val="00EA7599"/>
    <w:rsid w:val="00EA7682"/>
    <w:rsid w:val="00EB03A1"/>
    <w:rsid w:val="00EB3A4C"/>
    <w:rsid w:val="00EC0395"/>
    <w:rsid w:val="00EC0872"/>
    <w:rsid w:val="00EC6FB4"/>
    <w:rsid w:val="00EF1665"/>
    <w:rsid w:val="00F0395F"/>
    <w:rsid w:val="00F2588C"/>
    <w:rsid w:val="00F32CD9"/>
    <w:rsid w:val="00F40E31"/>
    <w:rsid w:val="00F47DFC"/>
    <w:rsid w:val="00F815EA"/>
    <w:rsid w:val="00FA25D5"/>
    <w:rsid w:val="00FA4992"/>
    <w:rsid w:val="00FA501E"/>
    <w:rsid w:val="00FC49CF"/>
    <w:rsid w:val="011750D9"/>
    <w:rsid w:val="01F40F97"/>
    <w:rsid w:val="023F2212"/>
    <w:rsid w:val="030E7E36"/>
    <w:rsid w:val="038F71C9"/>
    <w:rsid w:val="0559183C"/>
    <w:rsid w:val="06E521B8"/>
    <w:rsid w:val="070457D8"/>
    <w:rsid w:val="078A2181"/>
    <w:rsid w:val="0865499C"/>
    <w:rsid w:val="088A190C"/>
    <w:rsid w:val="09442803"/>
    <w:rsid w:val="095F3199"/>
    <w:rsid w:val="0A534A6F"/>
    <w:rsid w:val="0A622F41"/>
    <w:rsid w:val="0A8A693C"/>
    <w:rsid w:val="0CB41A4E"/>
    <w:rsid w:val="0CCE5073"/>
    <w:rsid w:val="0DC363ED"/>
    <w:rsid w:val="0E0A407F"/>
    <w:rsid w:val="0E6368D8"/>
    <w:rsid w:val="0F135152"/>
    <w:rsid w:val="0F876B0D"/>
    <w:rsid w:val="0FBE25DD"/>
    <w:rsid w:val="0FF67D1A"/>
    <w:rsid w:val="101F3C57"/>
    <w:rsid w:val="1021389E"/>
    <w:rsid w:val="105E064F"/>
    <w:rsid w:val="10703940"/>
    <w:rsid w:val="10DC1574"/>
    <w:rsid w:val="11DA3D05"/>
    <w:rsid w:val="12260CF8"/>
    <w:rsid w:val="139E0D62"/>
    <w:rsid w:val="13AC16D1"/>
    <w:rsid w:val="13AD4EDD"/>
    <w:rsid w:val="146401FE"/>
    <w:rsid w:val="14E530ED"/>
    <w:rsid w:val="154B3473"/>
    <w:rsid w:val="158C5316"/>
    <w:rsid w:val="15B02F86"/>
    <w:rsid w:val="15F867C0"/>
    <w:rsid w:val="16AE5760"/>
    <w:rsid w:val="16B169EA"/>
    <w:rsid w:val="171B2DF6"/>
    <w:rsid w:val="17B86896"/>
    <w:rsid w:val="1833416F"/>
    <w:rsid w:val="18BD38A6"/>
    <w:rsid w:val="18C36597"/>
    <w:rsid w:val="18D87AE2"/>
    <w:rsid w:val="19A4267A"/>
    <w:rsid w:val="1ADC5BCC"/>
    <w:rsid w:val="1B0E4A1F"/>
    <w:rsid w:val="1B6603B7"/>
    <w:rsid w:val="1B860A5A"/>
    <w:rsid w:val="1BC2670C"/>
    <w:rsid w:val="1BCE59A7"/>
    <w:rsid w:val="1C0025BA"/>
    <w:rsid w:val="1C0C5403"/>
    <w:rsid w:val="1C9E76A5"/>
    <w:rsid w:val="1D5E5630"/>
    <w:rsid w:val="1E1E31CB"/>
    <w:rsid w:val="1EE93F77"/>
    <w:rsid w:val="1F861028"/>
    <w:rsid w:val="1F9C1D8C"/>
    <w:rsid w:val="20BA3D5C"/>
    <w:rsid w:val="20EF2BFD"/>
    <w:rsid w:val="20FE29CD"/>
    <w:rsid w:val="213827F6"/>
    <w:rsid w:val="21B04333"/>
    <w:rsid w:val="21E12E8E"/>
    <w:rsid w:val="23151041"/>
    <w:rsid w:val="2335375C"/>
    <w:rsid w:val="240736F7"/>
    <w:rsid w:val="24415E66"/>
    <w:rsid w:val="24756501"/>
    <w:rsid w:val="257B69FE"/>
    <w:rsid w:val="259C15A5"/>
    <w:rsid w:val="26B4291F"/>
    <w:rsid w:val="27261F8C"/>
    <w:rsid w:val="276206B7"/>
    <w:rsid w:val="27750300"/>
    <w:rsid w:val="2A3C5105"/>
    <w:rsid w:val="2AF7727E"/>
    <w:rsid w:val="2AF82401"/>
    <w:rsid w:val="2B6E482D"/>
    <w:rsid w:val="2BED16EB"/>
    <w:rsid w:val="2BFA7026"/>
    <w:rsid w:val="2C142839"/>
    <w:rsid w:val="2CD31625"/>
    <w:rsid w:val="2D155E99"/>
    <w:rsid w:val="2DAA682A"/>
    <w:rsid w:val="2E7B7120"/>
    <w:rsid w:val="2EC706F7"/>
    <w:rsid w:val="2EE20EE4"/>
    <w:rsid w:val="2F4A14E5"/>
    <w:rsid w:val="31EF3498"/>
    <w:rsid w:val="32193F7E"/>
    <w:rsid w:val="321D3A6E"/>
    <w:rsid w:val="322979B4"/>
    <w:rsid w:val="32AF3E19"/>
    <w:rsid w:val="32E427DE"/>
    <w:rsid w:val="331D35FA"/>
    <w:rsid w:val="33457B5A"/>
    <w:rsid w:val="33EA0D37"/>
    <w:rsid w:val="33F407FF"/>
    <w:rsid w:val="34C226AB"/>
    <w:rsid w:val="35042CC3"/>
    <w:rsid w:val="35E77E4F"/>
    <w:rsid w:val="36D63FF5"/>
    <w:rsid w:val="370B11D0"/>
    <w:rsid w:val="379320DC"/>
    <w:rsid w:val="391A2AB5"/>
    <w:rsid w:val="398B39B3"/>
    <w:rsid w:val="39D972DA"/>
    <w:rsid w:val="3A5A5133"/>
    <w:rsid w:val="3AAD2E43"/>
    <w:rsid w:val="3BD333EF"/>
    <w:rsid w:val="3D0D3E49"/>
    <w:rsid w:val="3D7235C7"/>
    <w:rsid w:val="3D8E75CE"/>
    <w:rsid w:val="3DBF3C2B"/>
    <w:rsid w:val="3DFB432B"/>
    <w:rsid w:val="3E691DE9"/>
    <w:rsid w:val="3E8E340D"/>
    <w:rsid w:val="3EAA6689"/>
    <w:rsid w:val="3F0044FB"/>
    <w:rsid w:val="3F2F4DE1"/>
    <w:rsid w:val="3F94305A"/>
    <w:rsid w:val="403D2A50"/>
    <w:rsid w:val="40C036C3"/>
    <w:rsid w:val="40D35D8E"/>
    <w:rsid w:val="41A60F90"/>
    <w:rsid w:val="41C018D3"/>
    <w:rsid w:val="41FD4D22"/>
    <w:rsid w:val="42B6379F"/>
    <w:rsid w:val="43002ED1"/>
    <w:rsid w:val="43027EFB"/>
    <w:rsid w:val="430F11B1"/>
    <w:rsid w:val="436639E6"/>
    <w:rsid w:val="437042B4"/>
    <w:rsid w:val="43D25C86"/>
    <w:rsid w:val="44222204"/>
    <w:rsid w:val="447D2BAF"/>
    <w:rsid w:val="44A677E1"/>
    <w:rsid w:val="44F529B8"/>
    <w:rsid w:val="45012D7B"/>
    <w:rsid w:val="45685D52"/>
    <w:rsid w:val="45FE1C41"/>
    <w:rsid w:val="460422BE"/>
    <w:rsid w:val="4681606A"/>
    <w:rsid w:val="47FF7E2A"/>
    <w:rsid w:val="483A0DD5"/>
    <w:rsid w:val="48E96000"/>
    <w:rsid w:val="49311755"/>
    <w:rsid w:val="493C0826"/>
    <w:rsid w:val="49506EA2"/>
    <w:rsid w:val="4A007AA5"/>
    <w:rsid w:val="4A49144C"/>
    <w:rsid w:val="4A7E5437"/>
    <w:rsid w:val="4AAA5C63"/>
    <w:rsid w:val="4B413BC5"/>
    <w:rsid w:val="4B490F32"/>
    <w:rsid w:val="4B564457"/>
    <w:rsid w:val="4BB70638"/>
    <w:rsid w:val="4C2D41E7"/>
    <w:rsid w:val="4C575977"/>
    <w:rsid w:val="4CF136D5"/>
    <w:rsid w:val="4D1F46E6"/>
    <w:rsid w:val="4D7F5185"/>
    <w:rsid w:val="4DA30E74"/>
    <w:rsid w:val="4DF30F3A"/>
    <w:rsid w:val="4E8B7C40"/>
    <w:rsid w:val="4EAD187E"/>
    <w:rsid w:val="4EEF1E97"/>
    <w:rsid w:val="4F1637A4"/>
    <w:rsid w:val="4F8C3B89"/>
    <w:rsid w:val="500F1BD2"/>
    <w:rsid w:val="51B94A71"/>
    <w:rsid w:val="51C40746"/>
    <w:rsid w:val="521D4F6D"/>
    <w:rsid w:val="538F4881"/>
    <w:rsid w:val="53C1243D"/>
    <w:rsid w:val="53E435BB"/>
    <w:rsid w:val="543E6CC0"/>
    <w:rsid w:val="5483555B"/>
    <w:rsid w:val="55412274"/>
    <w:rsid w:val="55877734"/>
    <w:rsid w:val="55C03679"/>
    <w:rsid w:val="56177CD7"/>
    <w:rsid w:val="57B70A5A"/>
    <w:rsid w:val="57C446E9"/>
    <w:rsid w:val="57CF6D09"/>
    <w:rsid w:val="57F4304F"/>
    <w:rsid w:val="58805C42"/>
    <w:rsid w:val="58820FB8"/>
    <w:rsid w:val="59623DEB"/>
    <w:rsid w:val="599C1616"/>
    <w:rsid w:val="59DC4200"/>
    <w:rsid w:val="5ABA52A9"/>
    <w:rsid w:val="5AF745AD"/>
    <w:rsid w:val="5B23548E"/>
    <w:rsid w:val="5C8E01AF"/>
    <w:rsid w:val="5D7E2D63"/>
    <w:rsid w:val="5DF70D68"/>
    <w:rsid w:val="5EB6652D"/>
    <w:rsid w:val="603679A2"/>
    <w:rsid w:val="60511F54"/>
    <w:rsid w:val="6062696C"/>
    <w:rsid w:val="60B371C8"/>
    <w:rsid w:val="622E4F7D"/>
    <w:rsid w:val="628552F8"/>
    <w:rsid w:val="62BE6D8B"/>
    <w:rsid w:val="63462575"/>
    <w:rsid w:val="63DD455C"/>
    <w:rsid w:val="6446734B"/>
    <w:rsid w:val="64C03C61"/>
    <w:rsid w:val="64E742EF"/>
    <w:rsid w:val="65C71307"/>
    <w:rsid w:val="6602303B"/>
    <w:rsid w:val="684B0AD7"/>
    <w:rsid w:val="698A5C37"/>
    <w:rsid w:val="69B0699A"/>
    <w:rsid w:val="69D63F27"/>
    <w:rsid w:val="69E76134"/>
    <w:rsid w:val="69F36470"/>
    <w:rsid w:val="6A7F636D"/>
    <w:rsid w:val="6AD9782B"/>
    <w:rsid w:val="6B572E46"/>
    <w:rsid w:val="6BD10E4A"/>
    <w:rsid w:val="6BF0487F"/>
    <w:rsid w:val="6C841A18"/>
    <w:rsid w:val="6CD76DA0"/>
    <w:rsid w:val="6D147240"/>
    <w:rsid w:val="6D1C60F5"/>
    <w:rsid w:val="6DCF3167"/>
    <w:rsid w:val="6E2214E9"/>
    <w:rsid w:val="6ED00F45"/>
    <w:rsid w:val="6F6D2C38"/>
    <w:rsid w:val="70077F1A"/>
    <w:rsid w:val="703B0F88"/>
    <w:rsid w:val="71350B6D"/>
    <w:rsid w:val="71A5490B"/>
    <w:rsid w:val="71E01CC7"/>
    <w:rsid w:val="71F437A4"/>
    <w:rsid w:val="720F389B"/>
    <w:rsid w:val="72402EC2"/>
    <w:rsid w:val="729D386D"/>
    <w:rsid w:val="72F36933"/>
    <w:rsid w:val="731F161B"/>
    <w:rsid w:val="73A82490"/>
    <w:rsid w:val="75073918"/>
    <w:rsid w:val="75D457BF"/>
    <w:rsid w:val="75FC4D15"/>
    <w:rsid w:val="767F31A9"/>
    <w:rsid w:val="76910CDB"/>
    <w:rsid w:val="76D31F1A"/>
    <w:rsid w:val="76DA3485"/>
    <w:rsid w:val="76FF686B"/>
    <w:rsid w:val="771A18F7"/>
    <w:rsid w:val="78250553"/>
    <w:rsid w:val="79A656C4"/>
    <w:rsid w:val="79AC68AE"/>
    <w:rsid w:val="7A4D1FE3"/>
    <w:rsid w:val="7A56476F"/>
    <w:rsid w:val="7B914152"/>
    <w:rsid w:val="7C134BDC"/>
    <w:rsid w:val="7CB4634A"/>
    <w:rsid w:val="7D821FA4"/>
    <w:rsid w:val="7E301A00"/>
    <w:rsid w:val="7E5A5072"/>
    <w:rsid w:val="7E991F23"/>
    <w:rsid w:val="7EB5519D"/>
    <w:rsid w:val="7F0A04A3"/>
    <w:rsid w:val="7FB76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styleId="7">
    <w:name w:val="Body Text First Indent 2"/>
    <w:basedOn w:val="3"/>
    <w:qFormat/>
    <w:uiPriority w:val="0"/>
    <w:pPr>
      <w:spacing w:before="100" w:beforeAutospacing="1"/>
      <w:ind w:left="0" w:firstLine="420" w:firstLineChars="200"/>
    </w:pPr>
  </w:style>
  <w:style w:type="paragraph" w:customStyle="1" w:styleId="10">
    <w:name w:val="列出段落1"/>
    <w:basedOn w:val="1"/>
    <w:unhideWhenUsed/>
    <w:qFormat/>
    <w:uiPriority w:val="34"/>
    <w:pPr>
      <w:ind w:firstLine="420" w:firstLineChars="200"/>
    </w:pPr>
    <w:rPr>
      <w:rFonts w:ascii="仿宋" w:hAnsi="仿宋" w:eastAsia="仿宋"/>
      <w:kern w:val="0"/>
      <w:sz w:val="28"/>
    </w:rPr>
  </w:style>
  <w:style w:type="paragraph" w:styleId="11">
    <w:name w:val="List Paragraph"/>
    <w:basedOn w:val="1"/>
    <w:unhideWhenUsed/>
    <w:qFormat/>
    <w:uiPriority w:val="99"/>
    <w:pPr>
      <w:ind w:firstLine="420" w:firstLineChars="200"/>
    </w:pPr>
    <w:rPr>
      <w:rFonts w:hint="default" w:ascii="Calibri" w:hAnsi="Calibri"/>
      <w:kern w:val="0"/>
      <w:sz w:val="28"/>
    </w:rPr>
  </w:style>
  <w:style w:type="character" w:customStyle="1" w:styleId="12">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48FAB-7EC9-4334-A267-7447A37B6F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10292</Words>
  <Characters>3831</Characters>
  <Lines>31</Lines>
  <Paragraphs>28</Paragraphs>
  <TotalTime>312</TotalTime>
  <ScaleCrop>false</ScaleCrop>
  <LinksUpToDate>false</LinksUpToDate>
  <CharactersWithSpaces>14095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2024-05-24T09:40:00Z</cp:lastPrinted>
  <dcterms:modified xsi:type="dcterms:W3CDTF">2024-12-10T02:27:01Z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