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</w:pPr>
      <w:r>
        <w:rPr>
          <w:rStyle w:val="13"/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2023年度乡村振兴局部门（单位）整体支出绩效自评报告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2024年</w:t>
      </w: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5</w:t>
      </w: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 xml:space="preserve">月 </w:t>
      </w: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23</w:t>
      </w: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Style w:val="13"/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一、</w:t>
      </w:r>
      <w:r>
        <w:rPr>
          <w:rStyle w:val="13"/>
          <w:rFonts w:hint="eastAsia" w:ascii="黑体" w:hAnsi="黑体" w:eastAsia="黑体" w:cs="黑体"/>
          <w:bCs w:val="0"/>
          <w:sz w:val="32"/>
          <w:szCs w:val="32"/>
        </w:rPr>
        <w:t>部门（单位）基本情况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1．职能职责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根据中央和省委关于扶贫工作机构调整有关精神，按照市委编办《关于调整县区扶贫工作机构设置的通知》（永编办发〔2021〕37号），双牌县扶贫开发办公室更名为双牌县乡村振兴局，作为县政府工作部门，由双牌县农业农村局统一领导和管理。主要负责巩固拓展脱贫攻坚成果、统筹推进实施乡村振兴战略有关具体工作。目前“三定”方案暂未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2．机构编制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根据编委核定，我局属于行政单位，内设股级科室4 个；内设扶贫产业开发中心1个。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内设科室分别是：综合考核股、政策法规股、返贫监测股、规划财务股、扶贫产业开发服务中心。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双牌县乡村振兴局2023年实有在职人员13人，（公务员6人；工勤人员2人；事业人员5人）。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Cs w:val="0"/>
          <w:sz w:val="32"/>
          <w:szCs w:val="32"/>
        </w:rPr>
        <w:t>（二）部门年度项目支出绩效目标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1.项目支出绩效目标。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保障本单位的基本运转，不断提升本单位服务和业务水平。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  <w:t>二、一般公共预算支出情况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万元，占总支出的比重为%。一般公共预算财政拨款基本支出中人员经费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（二）项目支出情况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6219.37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万元，占总支出的比重为97.11%，是指单位为完成特定行政工作任务或事业发展目标而发生的支出，其中：1、农村基础设施建设支出2307.59万元,  2、一般行政管理事务45.5万元,  3、其他巩固脱贫衔接乡村振兴支出2171.45万元。社会发展324.2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万元，生产发展1155.5万元，贷款奖补和贴息215.0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  <w:t>三、政府性基金预算支出情况。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我单位无政府性基金预算支出情况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  <w:t>四、国有资本经营预算支出情况。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我单位无国有资本经营预算支出情况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bCs w:val="0"/>
          <w:color w:val="000000"/>
          <w:kern w:val="2"/>
          <w:u w:val="single" w:color="FFFFFF"/>
          <w:lang w:val="en-US" w:eastAsia="zh-CN" w:bidi="ar-SA"/>
        </w:rPr>
        <w:t>五、社会保险基金预算支出情况。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我单位无社会保险基金预算支出情况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根据《部门项目支出绩效评价指标》评分，得分98分（详见附件5：2023年度项目支出绩效自评表）。主要绩效如下：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，我局深入贯彻党的二十大精神和中央、省农业农村工作会议、省乡村振兴局长工作会议精神，咬定创省市先进目标，协调全县力量，采取有力措施，扎实推动有效衔接责任、政策、工作落实，持续巩固拓展脱贫攻坚成果，坚决守住不发生规模性返贫底线，全市有效衔接考核工作现场会在我县召开，圆满完成省市有效衔接实地考核，工作取得了新的成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一、工作主要成效及开展情况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扛牢有效衔接工作责任。协调出台了《双牌县常态化推进有效衔接工作机制（试行）》《2023年有效衔接工作指导清单及责任分解》，进一步健全“县级领导、县直部门、乡镇、驻村工作队、村支两委”五级工作责任体系，完善了工作机制。强化工作落实，组织召开全县性工作部署会5次、乡村振兴培训会11次、领导小组会议11次，统筹推进有效衔接各项工作。进一步完善有效衔接帮扶政策，探索出台了监测户产业发展奖补、脱贫群众劳动力转移就业一次性交通补贴、公益性岗位开发等等配套政策措施文件10余个，衔接政策体系更加健全。保持资金投入稳定，今年共投入有效衔接资金6995.37万元，64%用于支持农村产业发展促进增收。保持投入力量不减，完成新一轮驻村第一书记和驻村工作队轮换工作，从124个单位选派“素质过硬、能力过硬、作风过硬”的“三硬干部”216名，组建乡村振兴驻村帮扶工作队73支，对72个村和16个安置点开展驻村帮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抓实防止返贫动态监测和帮扶。出台《2023年双牌县进一步强化防止返贫动态监测和帮扶工作方案》，明确了“三员”，健全了“三网”，防止返贫监测网扎得更密更牢。加大帮扶政策宣传，发放申报政策、帮扶政策“明白纸”3.5万册。今年通过常态化监测和两次集中排查，新纳入监测户110户430人，稳定消除风险49户147人。现有脱贫户6741户26090人，稳定消除风险监测户906户1388人，未消除风险监测户355户1194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。扎实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结对帮扶（联系）工作，对所有未消除风险监测户（包括已消除风险监不足6个月的监测对象）开展结对帮扶，由全县355名县级领导和县直单位、乡镇班子成员原则上“一对一”与之结对，采取针对性帮扶措施开展帮扶。对全县脱贫户、稳定消除风险监测户，由2541名县、乡、村干部“一对多”结对，开展结对联系，帮助落实政策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持续增加脱贫群众收入。为进一步帮扶脱贫户、监测对象增收，我县出台并落实了外出就业给予一次性交通补贴政策，积极促进脱贫人口（含监测对象）劳动力转移就业增收；大力开发公益性岗位，帮扶脱贫群众、监测对象就近就业稳定增收；通过提高衔接资金产业项目占比、出台产业奖补政策、按需增发小额信贷等措施，健全联农带农机制，鼓励发展产业，提高脱贫群众、监测对象的生产经营性净收入。总的来说，全县脱贫群众收入增长持续向好，2023年脱贫人口人均纯收入由去年16586元增长到18998元，增幅为14.5%，监测对象2023年人均纯收入由去年的10785元增长到12267元，增幅为13.7%，易地搬迁人均纯收入由去年的15464元增长到17864元，增幅为15.5%，较好实现年初确定的脱贫人口收入三个高于的预期目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持续提升“3+1”保障成果。协调主要行业部门全面落实帮扶政策，“3+1”保障成果进一步巩固。全县适龄儿童少年无失学辍学，义务教育阶段“五类”学生教育资助政策全面落实。2022年秋季学期、2023年春季学期共计发放雨露计划补助2161人次324.15万元。脱贫户、监测户等特殊群体全部参加城乡居民基本医保，参保资助、大病保险、医疗救助政策全面落实。对农户住房安全全覆盖动态监测，脱贫户、监测户住房安全得到进一步保障。农村饮水工程由专人管护，脱贫户、监测户安全饮水持续保障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倾力发展帮扶产业。进一步健全完善联农带农机制，2023年衔接资金64%用于产业发展。鼓励脱贫群众发展产业增收，出台了《双牌县2023年监测户产业帮扶实施方案》，按照每人不高于600元的标准给予奖补，鼓励监测户发展产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2023年给197户监测户发放21.12万。用好小额信贷帮扶农户增收，今年新增小额信贷2356万元，支持脱贫户监测户发展产业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（六）扎实促进脱贫人口稳岗就业。鼓励脱贫劳动力外出务工就业，对脱贫劳动力外出就业给予一次性交通补贴，全年发放补贴175.535万元，实现转移就业13765人，完成省定任务104.28%。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积极开发公益性岗位，对监测户不能外出就业的，针对性开发公益性岗位，公益性岗位安排脱贫户监测户就业952个，较2022年略有增长。持续落实扶持帮扶车间政策，有帮扶车间69家，目前吸收脱贫劳动力632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人就业，较去年略有增加。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大力推进乡村建设。持续推进厕所革命，出台了《双牌县2023年农村改厕工作实施方案》《双牌县农村户厕问题整改销号管理工作方案》《双牌县农村卫生户厕和公共厕所长效管护工作方案》等文件，推动改（新）建户厕建设和问题厕所整改。2023年省下达我县户厕改（新）建任务423户，已完工验收并交付使用446户。扎实开展问题厕所摸排整改，共摸清2013年以来政府组织实施的厕所存在问题的有4785户，全部进行台账销号管理，整改到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探索推进乡村治理新模式提升农户获得感。推行乡村振兴月例会，今年以来全县共召开乡村振兴月例会640余场，研究事项2248项，解决村实际问题2204个，办结率98%。大力整治农村陈规陋习。出台《用好“乡村振兴月例会+”集中整治农村陈规陋习三年行动方案（2023--2025年）》，把高价彩礼、人情攀比、厚葬薄养、铺张浪费和农户庭院卫生脏乱差作为“4+1”整治工作重点，通过组织村民参与乡村振兴月例会，依靠农民群众一齐参与、一齐动手，共同推进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预算编制不够明确和细化，预算编制的合理性需要提高，预算执行力度还要进一步加强。资金使用效益有待进一步提高，绩效目标设立不够明确、细化和量化；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财务管理缺乏专业性，管理制度不健全；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3、绩效评价缺少专业人员，学习、认识不够。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争取配备专业人员从事财务工作，结合实际情况，科学设置支出科目，规范财务核算，完整披露相关信息。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3、加强单位内控制度建设，完善相关内部管理制度。按县财政局要求开展内部控制建设工作，通过查找内部管理中的薄弱环节提出问题；通过清理制度完善各项《内部控制制度》。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九、部门整体支出绩效自评结果拟应用和公开情况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绩效自评报告由财政局在网站统一公开。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2023年度部门整体支出绩效评价基础数据表</w:t>
      </w:r>
    </w:p>
    <w:tbl>
      <w:tblPr>
        <w:tblStyle w:val="9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198.79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257.02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257.02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29.12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103.56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486.77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7152.75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7152.75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2023年防返贫综合保险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71.352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71.352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部门基本支出预算调整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楼堂馆所控制情况</w:t>
            </w:r>
          </w:p>
          <w:p>
            <w:pPr>
              <w:jc w:val="center"/>
            </w:pPr>
            <w:r>
              <w:t>（2023年完工项目）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批复规模</w:t>
            </w:r>
          </w:p>
          <w:p>
            <w:pPr>
              <w:jc w:val="center"/>
            </w:pPr>
            <w: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压缩一般性支出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填表人：文美飞   填报日期：2024.5.23    联系电话：7721076   单位负责人签字：邓国勇</w:t>
      </w:r>
      <w:r>
        <w:rPr>
          <w:rFonts w:eastAsia="仿宋_GB2312"/>
          <w:sz w:val="2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</w:t>
      </w:r>
    </w:p>
    <w:p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2023年度部门整体支出绩效自评表</w:t>
      </w:r>
    </w:p>
    <w:tbl>
      <w:tblPr>
        <w:tblStyle w:val="9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"/>
        <w:gridCol w:w="987"/>
        <w:gridCol w:w="844"/>
        <w:gridCol w:w="1309"/>
        <w:gridCol w:w="373"/>
        <w:gridCol w:w="1282"/>
        <w:gridCol w:w="1002"/>
        <w:gridCol w:w="599"/>
        <w:gridCol w:w="846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县级预算部门名称</w:t>
            </w:r>
          </w:p>
        </w:tc>
        <w:tc>
          <w:tcPr>
            <w:tcW w:w="8484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双牌县乡村振兴局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年度预</w:t>
            </w:r>
          </w:p>
          <w:p>
            <w:pPr>
              <w:jc w:val="center"/>
            </w:pPr>
            <w:r>
              <w:t>算申请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年初预算数</w:t>
            </w:r>
          </w:p>
        </w:tc>
        <w:tc>
          <w:tcPr>
            <w:tcW w:w="1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全年预算数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全年执行数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分值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执行率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年度资金总额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按收入性质分：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  一般公共预算：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257.02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政府性基金拨款：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6219.37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纳入专户管理的非税收入拨款：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其他资金：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年度总体目标</w:t>
            </w: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预期目标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t>巩固拓展脱贫攻坚成果同乡村振兴有效衔接</w:t>
            </w:r>
          </w:p>
        </w:tc>
        <w:tc>
          <w:tcPr>
            <w:tcW w:w="3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8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绩</w:t>
            </w:r>
          </w:p>
          <w:p>
            <w:pPr>
              <w:jc w:val="center"/>
            </w:pPr>
            <w:r>
              <w:t>效</w:t>
            </w:r>
          </w:p>
          <w:p>
            <w:pPr>
              <w:jc w:val="center"/>
            </w:pPr>
            <w:r>
              <w:t>指</w:t>
            </w:r>
          </w:p>
          <w:p>
            <w:pPr>
              <w:jc w:val="center"/>
            </w:pPr>
            <w:r>
              <w:t>标</w:t>
            </w:r>
          </w:p>
          <w:p>
            <w:pPr>
              <w:jc w:val="center"/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一级指标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二级指标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三级指标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年度指标值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实际完成值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分值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得分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产出指标</w:t>
            </w:r>
          </w:p>
          <w:p>
            <w:pPr>
              <w:jc w:val="center"/>
            </w:pPr>
            <w:r>
              <w:t>(50分)</w:t>
            </w:r>
          </w:p>
        </w:tc>
        <w:tc>
          <w:tcPr>
            <w:tcW w:w="8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重点工作</w:t>
            </w:r>
          </w:p>
          <w:p>
            <w:pPr>
              <w:jc w:val="center"/>
            </w:pPr>
            <w:r>
              <w:t>任务完成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单位专项经费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37.52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37.52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2023年防贫综合保险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71.35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71.35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小额信贷工作经费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16.5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16.5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乡村振兴工作经费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人居环境整治工作经费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履职目</w:t>
            </w:r>
          </w:p>
          <w:p>
            <w:pPr>
              <w:jc w:val="center"/>
            </w:pPr>
            <w:r>
              <w:t>标实现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成立相应工作机构、建立相应的管理制度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成立领导小组、建立相应的管理制度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资金使用分配及工作完成进度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按年初工作目标、考核重点实施，进行资金分配使用。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效益指标</w:t>
            </w:r>
          </w:p>
          <w:p>
            <w:pPr>
              <w:jc w:val="center"/>
            </w:pPr>
            <w:r>
              <w:t>（40分）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履职</w:t>
            </w:r>
          </w:p>
          <w:p>
            <w:pPr>
              <w:jc w:val="center"/>
            </w:pPr>
            <w:r>
              <w:t>效益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专项资金按计划及时拨付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按完工情况拨付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拨付率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</w:rPr>
              <w:t>项目产出的经济效益情况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无经济效益明细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无经济效益明细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8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满意度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巩固拓展脱贫攻坚成果同乡村振兴有效衔接满意度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62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sz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填表人：文美飞 填报日期：2024.5.23  联系电话：7721076   单位负责人签字：邓国勇</w:t>
      </w:r>
      <w:r>
        <w:br w:type="pag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附件4</w:t>
      </w:r>
    </w:p>
    <w:p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2023年度项目支出绩效自评报告</w:t>
      </w:r>
    </w:p>
    <w:tbl>
      <w:tblPr>
        <w:tblStyle w:val="9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双牌县乡村振兴局专项工作经费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双牌县乡村振兴局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巩固拓展脱贫攻坚成果同乡村振兴有效衔接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台《2023年双牌县进一步强化防止返贫动态监测和帮扶工作方案》，明确了“三员”，健全了“三网”，防止返贫监测网扎得更密更牢。加大帮扶政策宣传，发放申报政策、帮扶政策“明白纸”3.5万册。今年通过常态化监测和两次集中排查，新纳入监测户110户430人，稳定消除风险49户147人。现有脱贫户6741户26090人，稳定消除风险监测户906户1388人，未消除风险监测户355户1194人。扎实开展结对帮扶（联系）工作，对所有未消除风险监测户（包括已消除风险监不足6个月的监测对象）开展结对帮扶，由全县355名县级领导和县直单位、乡镇班子成员原则上“一对一”与之结对，采取针对性帮扶措施开展帮扶。对全县脱贫户、稳定消除风险监测户，由2541名县、乡、村干部“一对多”结对，开展结对联系，帮助落实政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备注：每个项目支出分别填报自评报告和自评表。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填表人：文美飞   填报日期：2024.5.23   联系电话： 7721076  单位负责人签字：邓国勇</w:t>
      </w:r>
    </w:p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附件5</w:t>
      </w:r>
    </w:p>
    <w:p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2023年度项目支出绩效自评表</w:t>
      </w:r>
    </w:p>
    <w:tbl>
      <w:tblPr>
        <w:tblStyle w:val="9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项目支</w:t>
            </w:r>
          </w:p>
          <w:p>
            <w:pPr>
              <w:jc w:val="center"/>
            </w:pPr>
            <w: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巩固拓展衔接乡村振兴项目资金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双牌县乡村振兴局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双牌县乡村振兴局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项目资金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年初</w:t>
            </w:r>
          </w:p>
          <w:p>
            <w:pPr>
              <w:jc w:val="center"/>
            </w:pPr>
            <w: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全年</w:t>
            </w:r>
          </w:p>
          <w:p>
            <w:pPr>
              <w:jc w:val="center"/>
            </w:pPr>
            <w: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全年</w:t>
            </w:r>
          </w:p>
          <w:p>
            <w:pPr>
              <w:jc w:val="center"/>
            </w:pPr>
            <w: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年度资金总额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其中：当年财政拨款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6476.39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巩固拓展脱贫攻坚成果同乡村振兴有效衔接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绩</w:t>
            </w:r>
          </w:p>
          <w:p>
            <w:pPr>
              <w:jc w:val="center"/>
            </w:pPr>
            <w:r>
              <w:t>效</w:t>
            </w:r>
          </w:p>
          <w:p>
            <w:pPr>
              <w:jc w:val="center"/>
            </w:pPr>
            <w:r>
              <w:t>指</w:t>
            </w:r>
          </w:p>
          <w:p>
            <w:pPr>
              <w:jc w:val="center"/>
            </w:pPr>
            <w: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年度</w:t>
            </w:r>
          </w:p>
          <w:p>
            <w:pPr>
              <w:jc w:val="center"/>
            </w:pPr>
            <w: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实际</w:t>
            </w:r>
          </w:p>
          <w:p>
            <w:pPr>
              <w:jc w:val="center"/>
            </w:pPr>
            <w: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偏差原因</w:t>
            </w:r>
          </w:p>
          <w:p>
            <w:pPr>
              <w:jc w:val="center"/>
            </w:pPr>
            <w:r>
              <w:t>分析及</w:t>
            </w:r>
          </w:p>
          <w:p>
            <w:pPr>
              <w:jc w:val="center"/>
            </w:pPr>
            <w: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成本指标</w:t>
            </w:r>
          </w:p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经济成</w:t>
            </w:r>
          </w:p>
          <w:p>
            <w:pPr>
              <w:jc w:val="center"/>
            </w:pPr>
            <w:r>
              <w:rPr>
                <w:kern w:val="0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一般性支出压减率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1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社会成</w:t>
            </w:r>
          </w:p>
          <w:p>
            <w:pPr>
              <w:jc w:val="center"/>
            </w:pPr>
            <w:r>
              <w:rPr>
                <w:kern w:val="0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生态环境</w:t>
            </w:r>
          </w:p>
          <w:p>
            <w:pPr>
              <w:jc w:val="center"/>
            </w:pPr>
            <w:r>
              <w:rPr>
                <w:kern w:val="0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生态环境普及全民参与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产出指标</w:t>
            </w:r>
          </w:p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kern w:val="0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年初预算完成100%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kern w:val="0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kern w:val="0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全年完成各项任务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效益指标</w:t>
            </w:r>
          </w:p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经济效</w:t>
            </w:r>
          </w:p>
          <w:p>
            <w:pPr>
              <w:jc w:val="center"/>
            </w:pPr>
            <w:r>
              <w:rPr>
                <w:kern w:val="0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开展节能减排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生态效</w:t>
            </w:r>
          </w:p>
          <w:p>
            <w:pPr>
              <w:jc w:val="center"/>
            </w:pPr>
            <w:r>
              <w:rPr>
                <w:kern w:val="0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生态环境普及全民参与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社会效</w:t>
            </w:r>
          </w:p>
          <w:p>
            <w:pPr>
              <w:jc w:val="center"/>
            </w:pPr>
            <w:r>
              <w:rPr>
                <w:kern w:val="0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社会发展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满意度</w:t>
            </w:r>
          </w:p>
          <w:p>
            <w:pPr>
              <w:jc w:val="center"/>
            </w:pPr>
            <w:r>
              <w:t>指标</w:t>
            </w:r>
          </w:p>
          <w:p>
            <w:pPr>
              <w:jc w:val="center"/>
            </w:pPr>
            <w: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kern w:val="0"/>
              </w:rPr>
              <w:t>群众对巩固脱贫攻坚成果的满意度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备注：每个项目支出分别填报自评报告和自评表。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填表人：文美飞 填报日期：2024.4.10 联系电话：13974696769单位负责人签字：邓国勇</w:t>
      </w:r>
    </w:p>
    <w:p>
      <w:bookmarkStart w:id="1" w:name="_GoBack"/>
      <w:bookmarkEnd w:id="1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xNzc5NDFjYjJmOTI3Yjg4YWQ5NzhkNGM1YmYwODAifQ=="/>
  </w:docVars>
  <w:rsids>
    <w:rsidRoot w:val="00172A27"/>
    <w:rsid w:val="00006AB6"/>
    <w:rsid w:val="00010B87"/>
    <w:rsid w:val="0001583B"/>
    <w:rsid w:val="000500EB"/>
    <w:rsid w:val="000662D4"/>
    <w:rsid w:val="00067DDF"/>
    <w:rsid w:val="00081C94"/>
    <w:rsid w:val="00090227"/>
    <w:rsid w:val="000904AB"/>
    <w:rsid w:val="00097225"/>
    <w:rsid w:val="000D3E1B"/>
    <w:rsid w:val="000D5227"/>
    <w:rsid w:val="000E75A9"/>
    <w:rsid w:val="000F04D9"/>
    <w:rsid w:val="001042A4"/>
    <w:rsid w:val="00121AFD"/>
    <w:rsid w:val="0012708A"/>
    <w:rsid w:val="00145EF7"/>
    <w:rsid w:val="00172A27"/>
    <w:rsid w:val="00182DC6"/>
    <w:rsid w:val="001830D2"/>
    <w:rsid w:val="001978CF"/>
    <w:rsid w:val="001A193C"/>
    <w:rsid w:val="001A1BD1"/>
    <w:rsid w:val="001B23FD"/>
    <w:rsid w:val="002145C3"/>
    <w:rsid w:val="00230134"/>
    <w:rsid w:val="00231365"/>
    <w:rsid w:val="00251D66"/>
    <w:rsid w:val="00254292"/>
    <w:rsid w:val="002C38F8"/>
    <w:rsid w:val="002F4295"/>
    <w:rsid w:val="002F7359"/>
    <w:rsid w:val="00363B78"/>
    <w:rsid w:val="003A15DD"/>
    <w:rsid w:val="003A7308"/>
    <w:rsid w:val="003B1898"/>
    <w:rsid w:val="003E7944"/>
    <w:rsid w:val="00406DF6"/>
    <w:rsid w:val="00410D85"/>
    <w:rsid w:val="00421955"/>
    <w:rsid w:val="0044244F"/>
    <w:rsid w:val="004502F3"/>
    <w:rsid w:val="004C76F7"/>
    <w:rsid w:val="004D73FF"/>
    <w:rsid w:val="00505966"/>
    <w:rsid w:val="00512456"/>
    <w:rsid w:val="00512AF2"/>
    <w:rsid w:val="00513766"/>
    <w:rsid w:val="005153DC"/>
    <w:rsid w:val="005206D5"/>
    <w:rsid w:val="00551FAF"/>
    <w:rsid w:val="00592525"/>
    <w:rsid w:val="005B2355"/>
    <w:rsid w:val="005B3847"/>
    <w:rsid w:val="005F43E5"/>
    <w:rsid w:val="006011D6"/>
    <w:rsid w:val="006377AC"/>
    <w:rsid w:val="00644DFA"/>
    <w:rsid w:val="00683D7A"/>
    <w:rsid w:val="006854FF"/>
    <w:rsid w:val="0069643B"/>
    <w:rsid w:val="006A3C29"/>
    <w:rsid w:val="006A7CD8"/>
    <w:rsid w:val="006B63CC"/>
    <w:rsid w:val="00706537"/>
    <w:rsid w:val="007126B1"/>
    <w:rsid w:val="007302C9"/>
    <w:rsid w:val="007350E0"/>
    <w:rsid w:val="0075455B"/>
    <w:rsid w:val="00772041"/>
    <w:rsid w:val="00794389"/>
    <w:rsid w:val="007C25DE"/>
    <w:rsid w:val="007E0177"/>
    <w:rsid w:val="008119EC"/>
    <w:rsid w:val="008127A7"/>
    <w:rsid w:val="00827D18"/>
    <w:rsid w:val="00867554"/>
    <w:rsid w:val="008A1922"/>
    <w:rsid w:val="008B13F8"/>
    <w:rsid w:val="008C288E"/>
    <w:rsid w:val="0090419E"/>
    <w:rsid w:val="00920022"/>
    <w:rsid w:val="00932A3B"/>
    <w:rsid w:val="00946CC2"/>
    <w:rsid w:val="00946EC8"/>
    <w:rsid w:val="009772BE"/>
    <w:rsid w:val="00983B82"/>
    <w:rsid w:val="009A46DC"/>
    <w:rsid w:val="009B7F8F"/>
    <w:rsid w:val="009E03DB"/>
    <w:rsid w:val="00A04A87"/>
    <w:rsid w:val="00A2019D"/>
    <w:rsid w:val="00A5241C"/>
    <w:rsid w:val="00A71311"/>
    <w:rsid w:val="00A84B6B"/>
    <w:rsid w:val="00A859A7"/>
    <w:rsid w:val="00AD245C"/>
    <w:rsid w:val="00AE45E9"/>
    <w:rsid w:val="00B116BE"/>
    <w:rsid w:val="00B25630"/>
    <w:rsid w:val="00B60B41"/>
    <w:rsid w:val="00B77A8C"/>
    <w:rsid w:val="00BA4EDE"/>
    <w:rsid w:val="00BC6F36"/>
    <w:rsid w:val="00BD4C9B"/>
    <w:rsid w:val="00BD663F"/>
    <w:rsid w:val="00BE557D"/>
    <w:rsid w:val="00C169B3"/>
    <w:rsid w:val="00C314B1"/>
    <w:rsid w:val="00C46903"/>
    <w:rsid w:val="00C64AFC"/>
    <w:rsid w:val="00C7647E"/>
    <w:rsid w:val="00C80F6D"/>
    <w:rsid w:val="00C952F9"/>
    <w:rsid w:val="00CB1E87"/>
    <w:rsid w:val="00D171C5"/>
    <w:rsid w:val="00D461CD"/>
    <w:rsid w:val="00D518BF"/>
    <w:rsid w:val="00D526F9"/>
    <w:rsid w:val="00D8035E"/>
    <w:rsid w:val="00D82C23"/>
    <w:rsid w:val="00D968E8"/>
    <w:rsid w:val="00DA032F"/>
    <w:rsid w:val="00DB1FD0"/>
    <w:rsid w:val="00DB66B0"/>
    <w:rsid w:val="00DB67F3"/>
    <w:rsid w:val="00DC6314"/>
    <w:rsid w:val="00E03211"/>
    <w:rsid w:val="00E17657"/>
    <w:rsid w:val="00E246ED"/>
    <w:rsid w:val="00E2569F"/>
    <w:rsid w:val="00E415FA"/>
    <w:rsid w:val="00E62600"/>
    <w:rsid w:val="00E637E2"/>
    <w:rsid w:val="00EA089B"/>
    <w:rsid w:val="00EB6037"/>
    <w:rsid w:val="00F016C4"/>
    <w:rsid w:val="00F140DE"/>
    <w:rsid w:val="00F208E3"/>
    <w:rsid w:val="00F43A8F"/>
    <w:rsid w:val="00F56653"/>
    <w:rsid w:val="00F56FBB"/>
    <w:rsid w:val="00F816A7"/>
    <w:rsid w:val="00F821FE"/>
    <w:rsid w:val="00F83BDB"/>
    <w:rsid w:val="00FB44E2"/>
    <w:rsid w:val="00FC4ACB"/>
    <w:rsid w:val="00FE191E"/>
    <w:rsid w:val="00FF4B5D"/>
    <w:rsid w:val="018C4FFF"/>
    <w:rsid w:val="02A62291"/>
    <w:rsid w:val="02AD7AC3"/>
    <w:rsid w:val="05E5434B"/>
    <w:rsid w:val="09EA308B"/>
    <w:rsid w:val="0A3D797F"/>
    <w:rsid w:val="0B57681E"/>
    <w:rsid w:val="0BAB05EF"/>
    <w:rsid w:val="0CCE5073"/>
    <w:rsid w:val="0DA632F7"/>
    <w:rsid w:val="0EAC48B5"/>
    <w:rsid w:val="101F3C57"/>
    <w:rsid w:val="102731B6"/>
    <w:rsid w:val="105E064F"/>
    <w:rsid w:val="14B66A57"/>
    <w:rsid w:val="154B3473"/>
    <w:rsid w:val="15B02F86"/>
    <w:rsid w:val="1BCE59A7"/>
    <w:rsid w:val="1D5E5630"/>
    <w:rsid w:val="1E2E6B38"/>
    <w:rsid w:val="1EBE78CB"/>
    <w:rsid w:val="1F9C1D8C"/>
    <w:rsid w:val="20BA3D5C"/>
    <w:rsid w:val="20FE29CD"/>
    <w:rsid w:val="213827F6"/>
    <w:rsid w:val="24756501"/>
    <w:rsid w:val="25050C41"/>
    <w:rsid w:val="25CE1DB0"/>
    <w:rsid w:val="273B3040"/>
    <w:rsid w:val="2A422E24"/>
    <w:rsid w:val="2AF82401"/>
    <w:rsid w:val="2BD27A86"/>
    <w:rsid w:val="2DC44213"/>
    <w:rsid w:val="31EF3498"/>
    <w:rsid w:val="33457B5A"/>
    <w:rsid w:val="33EA0D37"/>
    <w:rsid w:val="345271A7"/>
    <w:rsid w:val="34C6524B"/>
    <w:rsid w:val="37F25C81"/>
    <w:rsid w:val="380D46F1"/>
    <w:rsid w:val="392549AD"/>
    <w:rsid w:val="39E62997"/>
    <w:rsid w:val="3B181276"/>
    <w:rsid w:val="3B7364AD"/>
    <w:rsid w:val="3DFB432B"/>
    <w:rsid w:val="3E931162"/>
    <w:rsid w:val="408F3F4F"/>
    <w:rsid w:val="40B07061"/>
    <w:rsid w:val="41A60F90"/>
    <w:rsid w:val="437042B4"/>
    <w:rsid w:val="43D25C86"/>
    <w:rsid w:val="47EE3252"/>
    <w:rsid w:val="47FF7E2A"/>
    <w:rsid w:val="491A61E0"/>
    <w:rsid w:val="4A7E5437"/>
    <w:rsid w:val="4B490F32"/>
    <w:rsid w:val="4B564457"/>
    <w:rsid w:val="4C4A325A"/>
    <w:rsid w:val="4C575977"/>
    <w:rsid w:val="4CEB6A82"/>
    <w:rsid w:val="4DEE60F7"/>
    <w:rsid w:val="4DF30F3A"/>
    <w:rsid w:val="4E8B7C40"/>
    <w:rsid w:val="4F1637A4"/>
    <w:rsid w:val="500F1BD2"/>
    <w:rsid w:val="512E0763"/>
    <w:rsid w:val="51C40746"/>
    <w:rsid w:val="53537FC2"/>
    <w:rsid w:val="543E6CC0"/>
    <w:rsid w:val="551606C1"/>
    <w:rsid w:val="55412274"/>
    <w:rsid w:val="55C03679"/>
    <w:rsid w:val="57544F8D"/>
    <w:rsid w:val="57C446E9"/>
    <w:rsid w:val="58820FB8"/>
    <w:rsid w:val="58883F2F"/>
    <w:rsid w:val="5A170014"/>
    <w:rsid w:val="5ABA52A9"/>
    <w:rsid w:val="5B022F52"/>
    <w:rsid w:val="5C5F24EA"/>
    <w:rsid w:val="5C8E01AF"/>
    <w:rsid w:val="5DB073BD"/>
    <w:rsid w:val="5EF51880"/>
    <w:rsid w:val="62BE6D8B"/>
    <w:rsid w:val="62D32611"/>
    <w:rsid w:val="63442040"/>
    <w:rsid w:val="64E742EF"/>
    <w:rsid w:val="677D5E3A"/>
    <w:rsid w:val="684B0AD7"/>
    <w:rsid w:val="69DB32EB"/>
    <w:rsid w:val="6E351362"/>
    <w:rsid w:val="6E445575"/>
    <w:rsid w:val="72AB65E2"/>
    <w:rsid w:val="72DD2E69"/>
    <w:rsid w:val="745E47FA"/>
    <w:rsid w:val="75073918"/>
    <w:rsid w:val="75E53009"/>
    <w:rsid w:val="771A18F7"/>
    <w:rsid w:val="79773031"/>
    <w:rsid w:val="7C584C3B"/>
    <w:rsid w:val="7C705B15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line="560" w:lineRule="exact"/>
    </w:pPr>
    <w:rPr>
      <w:rFonts w:ascii="黑体" w:hAnsi="黑体" w:eastAsia="黑体" w:cstheme="minorBidi"/>
      <w:bCs/>
      <w:color w:val="000000"/>
      <w:kern w:val="2"/>
      <w:sz w:val="21"/>
      <w:szCs w:val="24"/>
      <w:u w:val="single" w:color="FFFFFF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</w:pPr>
    <w:rPr>
      <w:kern w:val="0"/>
      <w:sz w:val="2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</w:pPr>
    <w:rPr>
      <w:rFonts w:ascii="Calibri" w:hAnsi="Calibri" w:eastAsia="宋体"/>
      <w:kern w:val="0"/>
      <w:sz w:val="24"/>
    </w:r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1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kern w:val="0"/>
      <w:sz w:val="28"/>
    </w:rPr>
  </w:style>
  <w:style w:type="character" w:customStyle="1" w:styleId="13">
    <w:name w:val="ca-31"/>
    <w:basedOn w:val="10"/>
    <w:qFormat/>
    <w:uiPriority w:val="0"/>
    <w:rPr>
      <w:rFonts w:hint="eastAsia" w:ascii="仿宋_GB2312" w:eastAsia="仿宋_GB2312"/>
      <w:sz w:val="32"/>
      <w:szCs w:val="32"/>
    </w:rPr>
  </w:style>
  <w:style w:type="paragraph" w:customStyle="1" w:styleId="14">
    <w:name w:val="BodyText1I"/>
    <w:basedOn w:val="1"/>
    <w:qFormat/>
    <w:uiPriority w:val="99"/>
    <w:pPr>
      <w:snapToGrid w:val="0"/>
      <w:spacing w:line="360" w:lineRule="auto"/>
      <w:ind w:firstLine="420" w:firstLineChars="100"/>
      <w:jc w:val="both"/>
    </w:pPr>
    <w:rPr>
      <w:rFonts w:ascii="Times New Roman" w:hAnsi="Times New Roman" w:eastAsia="宋体" w:cs="Times New Roman"/>
      <w:bCs w:val="0"/>
      <w:color w:val="auto"/>
      <w:sz w:val="28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5467</Words>
  <Characters>6195</Characters>
  <Lines>50</Lines>
  <Paragraphs>14</Paragraphs>
  <TotalTime>1</TotalTime>
  <ScaleCrop>false</ScaleCrop>
  <LinksUpToDate>false</LinksUpToDate>
  <CharactersWithSpaces>6411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2024-12-10T00:21:04Z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C9F0904C20E74999B4D7959129BF1BBC_13</vt:lpwstr>
  </property>
</Properties>
</file>