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left"/>
        <w:rPr>
          <w:rFonts w:hint="default" w:ascii="仿宋_GB2312" w:hAnsi="仿宋_GB2312" w:eastAsia="仿宋_GB2312" w:cs="仿宋_GB2312"/>
          <w:sz w:val="32"/>
        </w:rPr>
      </w:pPr>
      <w:r>
        <w:rPr>
          <w:rFonts w:ascii="黑体" w:hAnsi="黑体" w:eastAsia="黑体" w:cs="黑体"/>
          <w:sz w:val="32"/>
          <w:szCs w:val="32"/>
        </w:rPr>
        <w:t>附件1</w:t>
      </w:r>
    </w:p>
    <w:p>
      <w:pPr>
        <w:jc w:val="center"/>
        <w:outlineLvl w:val="1"/>
        <w:rPr>
          <w:rFonts w:hint="default" w:ascii="方正小标宋简体" w:eastAsia="方正小标宋简体"/>
          <w:sz w:val="52"/>
        </w:rPr>
      </w:pPr>
      <w:r>
        <w:rPr>
          <w:rFonts w:ascii="方正小标宋简体" w:eastAsia="方正小标宋简体"/>
          <w:sz w:val="52"/>
        </w:rPr>
        <w:t>2023年度双牌县五星岭乡中心小学</w:t>
      </w:r>
    </w:p>
    <w:p>
      <w:pPr>
        <w:jc w:val="center"/>
        <w:outlineLvl w:val="1"/>
        <w:rPr>
          <w:rFonts w:hint="default" w:ascii="方正小标宋简体" w:eastAsia="方正小标宋简体"/>
          <w:sz w:val="52"/>
        </w:rPr>
      </w:pPr>
      <w:r>
        <w:rPr>
          <w:rFonts w:ascii="方正小标宋简体" w:eastAsia="方正小标宋简体"/>
          <w:sz w:val="52"/>
        </w:rPr>
        <w:t>整体支出绩效自评报告</w:t>
      </w:r>
    </w:p>
    <w:p>
      <w:pPr>
        <w:jc w:val="center"/>
        <w:rPr>
          <w:rFonts w:hint="default" w:eastAsia="黑体"/>
          <w:sz w:val="32"/>
        </w:rPr>
      </w:pPr>
    </w:p>
    <w:p>
      <w:pPr>
        <w:jc w:val="center"/>
        <w:rPr>
          <w:rFonts w:hint="default" w:eastAsia="黑体"/>
          <w:sz w:val="32"/>
        </w:rPr>
      </w:pPr>
    </w:p>
    <w:p>
      <w:pPr>
        <w:jc w:val="center"/>
        <w:rPr>
          <w:rFonts w:hint="default" w:eastAsia="黑体"/>
          <w:sz w:val="32"/>
        </w:rPr>
      </w:pPr>
    </w:p>
    <w:p>
      <w:pPr>
        <w:rPr>
          <w:rFonts w:hint="default" w:eastAsia="黑体"/>
          <w:sz w:val="32"/>
        </w:rPr>
      </w:pPr>
    </w:p>
    <w:p>
      <w:pPr>
        <w:jc w:val="center"/>
        <w:rPr>
          <w:rFonts w:hint="default" w:eastAsia="黑体"/>
          <w:sz w:val="32"/>
        </w:rPr>
      </w:pPr>
    </w:p>
    <w:p>
      <w:pPr>
        <w:jc w:val="center"/>
        <w:rPr>
          <w:rFonts w:hint="default" w:eastAsia="黑体"/>
          <w:sz w:val="32"/>
        </w:rPr>
      </w:pPr>
    </w:p>
    <w:p>
      <w:pPr>
        <w:jc w:val="center"/>
        <w:rPr>
          <w:rFonts w:hint="default" w:eastAsia="黑体"/>
          <w:sz w:val="32"/>
        </w:rPr>
      </w:pPr>
    </w:p>
    <w:p>
      <w:pPr>
        <w:spacing w:line="600" w:lineRule="exact"/>
        <w:rPr>
          <w:rFonts w:hint="default" w:eastAsia="仿宋_GB2312"/>
          <w:sz w:val="32"/>
          <w:u w:val="single"/>
        </w:rPr>
      </w:pPr>
      <w:r>
        <w:rPr>
          <w:rFonts w:eastAsia="仿宋_GB2312"/>
          <w:sz w:val="32"/>
        </w:rPr>
        <w:t>单位名称（盖章）：</w:t>
      </w:r>
      <w:r>
        <w:rPr>
          <w:rFonts w:eastAsia="仿宋_GB2312"/>
          <w:sz w:val="32"/>
          <w:u w:val="single"/>
        </w:rPr>
        <w:t>双牌县五星岭乡中心小学</w:t>
      </w:r>
    </w:p>
    <w:p>
      <w:pPr>
        <w:spacing w:line="600" w:lineRule="exact"/>
        <w:ind w:firstLine="3200" w:firstLineChars="1000"/>
        <w:rPr>
          <w:rFonts w:hint="default" w:eastAsia="楷体_GB2312"/>
          <w:sz w:val="32"/>
        </w:rPr>
      </w:pPr>
    </w:p>
    <w:p>
      <w:pPr>
        <w:spacing w:line="600" w:lineRule="exact"/>
        <w:ind w:firstLine="3200" w:firstLineChars="1000"/>
        <w:rPr>
          <w:rFonts w:hint="default" w:eastAsia="楷体_GB2312"/>
          <w:sz w:val="32"/>
        </w:rPr>
      </w:pPr>
      <w:r>
        <w:rPr>
          <w:rFonts w:eastAsia="楷体_GB2312"/>
          <w:sz w:val="32"/>
        </w:rPr>
        <w:t>2024年4月16日</w:t>
      </w:r>
    </w:p>
    <w:p>
      <w:pPr>
        <w:jc w:val="center"/>
        <w:rPr>
          <w:rFonts w:hint="default" w:eastAsia="黑体"/>
          <w:sz w:val="32"/>
        </w:rPr>
      </w:pPr>
    </w:p>
    <w:p>
      <w:pPr>
        <w:numPr>
          <w:ilvl w:val="0"/>
          <w:numId w:val="1"/>
        </w:numPr>
        <w:spacing w:line="570" w:lineRule="exact"/>
        <w:outlineLvl w:val="0"/>
        <w:rPr>
          <w:rFonts w:hint="default" w:eastAsia="黑体"/>
          <w:sz w:val="32"/>
        </w:rPr>
      </w:pPr>
      <w:r>
        <w:rPr>
          <w:rFonts w:hint="default" w:eastAsia="仿宋_GB2312"/>
          <w:sz w:val="32"/>
        </w:rPr>
        <w:br w:type="page"/>
      </w:r>
      <w:r>
        <w:rPr>
          <w:rFonts w:eastAsia="黑体"/>
          <w:sz w:val="32"/>
        </w:rPr>
        <w:t>部门（单位）基本情况</w:t>
      </w:r>
    </w:p>
    <w:p>
      <w:pPr>
        <w:numPr>
          <w:ilvl w:val="0"/>
          <w:numId w:val="2"/>
        </w:numPr>
        <w:shd w:val="clear" w:color="auto" w:fill="FFFFFF"/>
        <w:spacing w:line="570" w:lineRule="exact"/>
        <w:ind w:firstLine="640" w:firstLineChars="200"/>
        <w:outlineLvl w:val="1"/>
        <w:rPr>
          <w:rFonts w:hint="default" w:ascii="仿宋_GB2312" w:hAnsi="仿宋_GB2312" w:eastAsia="仿宋_GB2312" w:cs="仿宋_GB2312"/>
          <w:sz w:val="32"/>
        </w:rPr>
      </w:pPr>
      <w:r>
        <w:rPr>
          <w:rFonts w:ascii="仿宋_GB2312" w:hAnsi="仿宋_GB2312" w:eastAsia="仿宋_GB2312" w:cs="仿宋_GB2312"/>
          <w:sz w:val="32"/>
        </w:rPr>
        <w:t>部门（单位）职能职责、机构编制、人员构成等。</w:t>
      </w:r>
    </w:p>
    <w:p>
      <w:pPr>
        <w:adjustRightInd w:val="0"/>
        <w:spacing w:line="580" w:lineRule="exact"/>
        <w:ind w:firstLine="640" w:firstLineChars="200"/>
        <w:jc w:val="left"/>
        <w:rPr>
          <w:rFonts w:hint="default" w:ascii="仿宋_GB2312" w:hAnsi="仿宋_GB2312" w:eastAsia="仿宋_GB2312" w:cs="仿宋_GB2312"/>
          <w:sz w:val="32"/>
          <w:szCs w:val="32"/>
        </w:rPr>
      </w:pPr>
      <w:r>
        <w:rPr>
          <w:rFonts w:ascii="仿宋_GB2312" w:hAnsi="仿宋_GB2312" w:eastAsia="仿宋_GB2312" w:cs="仿宋_GB2312"/>
          <w:sz w:val="32"/>
          <w:szCs w:val="32"/>
        </w:rPr>
        <w:t>双牌县五星岭乡中心小学是经费独立核算单位，是在双牌县教育局领导下的一所乡镇中心小学。</w:t>
      </w:r>
    </w:p>
    <w:p>
      <w:pPr>
        <w:adjustRightInd w:val="0"/>
        <w:spacing w:line="580" w:lineRule="exact"/>
        <w:ind w:firstLine="960" w:firstLineChars="300"/>
        <w:jc w:val="left"/>
        <w:rPr>
          <w:rFonts w:hint="default" w:ascii="仿宋_GB2312" w:hAnsi="仿宋_GB2312" w:eastAsia="仿宋_GB2312" w:cs="仿宋_GB2312"/>
          <w:sz w:val="32"/>
          <w:szCs w:val="32"/>
        </w:rPr>
      </w:pPr>
      <w:r>
        <w:rPr>
          <w:rFonts w:ascii="仿宋_GB2312" w:hAnsi="仿宋_GB2312" w:eastAsia="仿宋_GB2312" w:cs="仿宋_GB2312"/>
          <w:sz w:val="32"/>
          <w:szCs w:val="32"/>
        </w:rPr>
        <w:t xml:space="preserve">实施小学义务教育，促进基础教育发展、小学学历教育，是学校的主要工作职能。  </w:t>
      </w:r>
    </w:p>
    <w:p>
      <w:pPr>
        <w:spacing w:line="580" w:lineRule="exact"/>
        <w:ind w:firstLine="640" w:firstLineChars="200"/>
        <w:rPr>
          <w:rFonts w:hint="default" w:ascii="仿宋_GB2312" w:hAnsi="仿宋_GB2312" w:eastAsia="仿宋_GB2312" w:cs="仿宋_GB2312"/>
        </w:rPr>
      </w:pPr>
      <w:r>
        <w:rPr>
          <w:rFonts w:ascii="仿宋_GB2312" w:hAnsi="仿宋_GB2312" w:eastAsia="仿宋_GB2312" w:cs="仿宋_GB2312"/>
          <w:sz w:val="32"/>
          <w:szCs w:val="32"/>
        </w:rPr>
        <w:t>2023年末财政供养人数为:编制数11人，实际在职人员5人，在校生人数4人，教学班3个。</w:t>
      </w:r>
    </w:p>
    <w:p>
      <w:pPr>
        <w:numPr>
          <w:ilvl w:val="0"/>
          <w:numId w:val="2"/>
        </w:numPr>
        <w:spacing w:line="570" w:lineRule="exact"/>
        <w:ind w:firstLine="640" w:firstLineChars="200"/>
        <w:outlineLvl w:val="1"/>
        <w:rPr>
          <w:rFonts w:hint="default" w:ascii="仿宋_GB2312" w:hAnsi="仿宋_GB2312" w:eastAsia="仿宋_GB2312" w:cs="仿宋_GB2312"/>
          <w:color w:val="000000"/>
          <w:sz w:val="32"/>
        </w:rPr>
      </w:pPr>
      <w:r>
        <w:rPr>
          <w:rFonts w:ascii="仿宋_GB2312" w:hAnsi="仿宋_GB2312" w:eastAsia="仿宋_GB2312" w:cs="仿宋_GB2312"/>
          <w:sz w:val="32"/>
        </w:rPr>
        <w:t>部门（单位）整体支出规模</w:t>
      </w:r>
      <w:r>
        <w:rPr>
          <w:rFonts w:ascii="仿宋_GB2312" w:hAnsi="仿宋_GB2312" w:eastAsia="仿宋_GB2312" w:cs="仿宋_GB2312"/>
          <w:sz w:val="32"/>
          <w:szCs w:val="32"/>
        </w:rPr>
        <w:t>，</w:t>
      </w:r>
      <w:r>
        <w:rPr>
          <w:rFonts w:ascii="仿宋_GB2312" w:hAnsi="仿宋_GB2312" w:eastAsia="仿宋_GB2312" w:cs="仿宋_GB2312"/>
          <w:color w:val="000000"/>
          <w:sz w:val="32"/>
        </w:rPr>
        <w:t>包括但不限于部门整体支出情况、部门预算收支决算情况及“三公经费”支出使用和管理情况。</w:t>
      </w:r>
    </w:p>
    <w:p>
      <w:pPr>
        <w:pStyle w:val="10"/>
        <w:spacing w:line="570" w:lineRule="exact"/>
        <w:ind w:firstLine="640"/>
        <w:outlineLvl w:val="0"/>
        <w:rPr>
          <w:rFonts w:ascii="仿宋_GB2312" w:hAnsi="仿宋_GB2312" w:eastAsia="仿宋_GB2312" w:cs="仿宋_GB2312"/>
          <w:sz w:val="32"/>
        </w:rPr>
      </w:pPr>
      <w:r>
        <w:rPr>
          <w:rFonts w:hint="eastAsia" w:ascii="仿宋_GB2312" w:hAnsi="仿宋_GB2312" w:eastAsia="仿宋_GB2312" w:cs="仿宋_GB2312"/>
          <w:sz w:val="32"/>
        </w:rPr>
        <w:t>2023年，我单位整体支出72.11万元，其中基本支出72.11万元。</w:t>
      </w:r>
    </w:p>
    <w:p>
      <w:pPr>
        <w:pStyle w:val="10"/>
        <w:spacing w:line="570" w:lineRule="exact"/>
        <w:ind w:firstLine="640"/>
        <w:outlineLvl w:val="0"/>
        <w:rPr>
          <w:rFonts w:ascii="仿宋_GB2312" w:hAnsi="仿宋_GB2312" w:eastAsia="仿宋_GB2312" w:cs="仿宋_GB2312"/>
          <w:sz w:val="32"/>
        </w:rPr>
      </w:pPr>
      <w:r>
        <w:rPr>
          <w:rFonts w:hint="eastAsia" w:ascii="仿宋_GB2312" w:hAnsi="仿宋_GB2312" w:eastAsia="仿宋_GB2312" w:cs="仿宋_GB2312"/>
          <w:sz w:val="32"/>
        </w:rPr>
        <w:t>2023年，我单位年初预算收入72.11万元，其中预算内财政拨款收入72.11万元，其他收入0万元。支出72.11万元。</w:t>
      </w:r>
    </w:p>
    <w:p>
      <w:pPr>
        <w:pStyle w:val="10"/>
        <w:spacing w:line="570" w:lineRule="exact"/>
        <w:ind w:firstLine="640"/>
        <w:outlineLvl w:val="0"/>
        <w:rPr>
          <w:rFonts w:ascii="仿宋_GB2312" w:hAnsi="仿宋_GB2312" w:eastAsia="仿宋_GB2312" w:cs="仿宋_GB2312"/>
          <w:sz w:val="32"/>
        </w:rPr>
      </w:pPr>
      <w:r>
        <w:rPr>
          <w:rFonts w:hint="eastAsia" w:ascii="仿宋_GB2312" w:hAnsi="仿宋_GB2312" w:eastAsia="仿宋_GB2312" w:cs="仿宋_GB2312"/>
          <w:sz w:val="32"/>
        </w:rPr>
        <w:t>2023年实际收入66.11万元，其中财政收入66.11万元其他收入0万元。支出66.11万元。</w:t>
      </w:r>
    </w:p>
    <w:p>
      <w:pPr>
        <w:pStyle w:val="10"/>
        <w:spacing w:line="570" w:lineRule="exact"/>
        <w:ind w:firstLine="640"/>
        <w:outlineLvl w:val="0"/>
        <w:rPr>
          <w:rFonts w:ascii="仿宋_GB2312" w:hAnsi="仿宋_GB2312" w:eastAsia="仿宋_GB2312" w:cs="仿宋_GB2312"/>
          <w:sz w:val="32"/>
        </w:rPr>
      </w:pPr>
      <w:r>
        <w:rPr>
          <w:rFonts w:hint="eastAsia" w:ascii="仿宋_GB2312" w:hAnsi="仿宋_GB2312" w:eastAsia="仿宋_GB2312" w:cs="仿宋_GB2312"/>
          <w:sz w:val="32"/>
        </w:rPr>
        <w:t>2022年三公经费实际支出0.48万元，比上年减少0万元。</w:t>
      </w:r>
    </w:p>
    <w:p>
      <w:pPr>
        <w:pStyle w:val="10"/>
        <w:numPr>
          <w:ilvl w:val="0"/>
          <w:numId w:val="1"/>
        </w:numPr>
        <w:spacing w:line="570" w:lineRule="exact"/>
        <w:ind w:firstLineChars="0"/>
        <w:outlineLvl w:val="0"/>
        <w:rPr>
          <w:rFonts w:ascii="Times New Roman" w:hAnsi="Times New Roman" w:eastAsia="黑体"/>
          <w:sz w:val="32"/>
        </w:rPr>
      </w:pPr>
      <w:r>
        <w:rPr>
          <w:rFonts w:hint="eastAsia" w:ascii="Times New Roman" w:hAnsi="Times New Roman" w:eastAsia="黑体"/>
          <w:sz w:val="32"/>
        </w:rPr>
        <w:t>一般公共预算支出情况</w:t>
      </w:r>
    </w:p>
    <w:p>
      <w:pPr>
        <w:pStyle w:val="10"/>
        <w:spacing w:line="580" w:lineRule="exact"/>
        <w:ind w:firstLine="640"/>
        <w:rPr>
          <w:rFonts w:ascii="仿宋_GB2312" w:hAnsi="仿宋_GB2312" w:eastAsia="仿宋_GB2312" w:cs="仿宋_GB2312"/>
          <w:sz w:val="32"/>
        </w:rPr>
      </w:pPr>
      <w:r>
        <w:rPr>
          <w:rFonts w:hint="eastAsia" w:ascii="仿宋_GB2312" w:hAnsi="仿宋_GB2312" w:eastAsia="仿宋_GB2312" w:cs="仿宋_GB2312"/>
          <w:sz w:val="32"/>
          <w:szCs w:val="32"/>
        </w:rPr>
        <w:t>2023年我校决算收入66.11万元，其中当年财政补助资金66.11万元。决算整体支出66.11万元。</w:t>
      </w:r>
    </w:p>
    <w:p>
      <w:pPr>
        <w:pStyle w:val="10"/>
        <w:numPr>
          <w:ilvl w:val="0"/>
          <w:numId w:val="3"/>
        </w:numPr>
        <w:spacing w:line="570" w:lineRule="exact"/>
        <w:ind w:firstLine="640"/>
        <w:outlineLvl w:val="1"/>
        <w:rPr>
          <w:rFonts w:ascii="仿宋_GB2312" w:hAnsi="仿宋_GB2312" w:eastAsia="仿宋_GB2312" w:cs="仿宋_GB2312"/>
          <w:sz w:val="32"/>
        </w:rPr>
      </w:pPr>
      <w:r>
        <w:rPr>
          <w:rFonts w:hint="eastAsia" w:ascii="仿宋_GB2312" w:hAnsi="仿宋_GB2312" w:eastAsia="仿宋_GB2312" w:cs="仿宋_GB2312"/>
          <w:sz w:val="32"/>
        </w:rPr>
        <w:t>基本支出情况</w:t>
      </w:r>
    </w:p>
    <w:p>
      <w:pPr>
        <w:adjustRightInd w:val="0"/>
        <w:spacing w:line="580" w:lineRule="exact"/>
        <w:ind w:firstLine="640" w:firstLineChars="200"/>
        <w:jc w:val="left"/>
        <w:rPr>
          <w:rFonts w:hint="default" w:ascii="仿宋_GB2312" w:hAnsi="仿宋_GB2312" w:eastAsia="仿宋_GB2312" w:cs="仿宋_GB2312"/>
          <w:sz w:val="32"/>
        </w:rPr>
      </w:pPr>
      <w:r>
        <w:rPr>
          <w:rFonts w:ascii="仿宋_GB2312" w:hAnsi="仿宋_GB2312" w:eastAsia="仿宋_GB2312" w:cs="仿宋_GB2312"/>
          <w:sz w:val="32"/>
          <w:szCs w:val="32"/>
        </w:rPr>
        <w:t>2023年我校基本支出66.11万元，其中: (1)工资福利支出58.86万元，分别为:基本工资28.57万元、津贴补贴0.2万元，绩效工资13.75万元，机关事业单位基本养老保险缴费6.69万元;基本医疗保险缴费3.64万元，住房公积金5.02万元，其他工资福利支出0.99元。 (2)日常公用经费支出4.43元，分别为:办公费0.53万元,电费 0.33万元;差旅费 0.15万元，培训费0.13万元，公务接待费0.48万元;工会费 1.53万元，其他商品和服务支出1.28万元。 (3)对个人和家庭的补助支出2.82万元。</w:t>
      </w:r>
    </w:p>
    <w:p>
      <w:pPr>
        <w:pStyle w:val="10"/>
        <w:numPr>
          <w:ilvl w:val="0"/>
          <w:numId w:val="1"/>
        </w:numPr>
        <w:spacing w:line="570" w:lineRule="exact"/>
        <w:ind w:firstLineChars="0"/>
        <w:jc w:val="left"/>
        <w:outlineLvl w:val="0"/>
        <w:rPr>
          <w:rFonts w:ascii="Times New Roman" w:hAnsi="Times New Roman" w:eastAsia="黑体"/>
          <w:sz w:val="32"/>
        </w:rPr>
      </w:pPr>
      <w:r>
        <w:rPr>
          <w:rFonts w:hint="eastAsia" w:ascii="Times New Roman" w:hAnsi="Times New Roman" w:eastAsia="黑体"/>
          <w:sz w:val="32"/>
        </w:rPr>
        <w:t>政府性基金预算支出情况。</w:t>
      </w:r>
    </w:p>
    <w:p>
      <w:pPr>
        <w:pStyle w:val="10"/>
        <w:spacing w:line="570" w:lineRule="exact"/>
        <w:ind w:left="640" w:firstLine="0" w:firstLineChars="0"/>
        <w:jc w:val="left"/>
        <w:outlineLvl w:val="0"/>
        <w:rPr>
          <w:rFonts w:ascii="Times New Roman" w:hAnsi="Times New Roman" w:eastAsia="仿宋_GB2312"/>
          <w:color w:val="000000"/>
          <w:sz w:val="32"/>
        </w:rPr>
      </w:pPr>
      <w:r>
        <w:rPr>
          <w:rFonts w:hint="eastAsia" w:ascii="Times New Roman" w:hAnsi="Times New Roman" w:eastAsia="仿宋_GB2312"/>
          <w:color w:val="000000"/>
          <w:sz w:val="32"/>
        </w:rPr>
        <w:t>我单位无政府性基金预算支出情况。</w:t>
      </w:r>
    </w:p>
    <w:p>
      <w:pPr>
        <w:pStyle w:val="10"/>
        <w:numPr>
          <w:ilvl w:val="0"/>
          <w:numId w:val="1"/>
        </w:numPr>
        <w:spacing w:line="570" w:lineRule="exact"/>
        <w:ind w:firstLineChars="0"/>
        <w:jc w:val="left"/>
        <w:outlineLvl w:val="0"/>
        <w:rPr>
          <w:rFonts w:ascii="Times New Roman" w:hAnsi="Times New Roman" w:eastAsia="黑体"/>
          <w:sz w:val="32"/>
        </w:rPr>
      </w:pPr>
      <w:r>
        <w:rPr>
          <w:rFonts w:hint="eastAsia" w:ascii="Times New Roman" w:hAnsi="Times New Roman" w:eastAsia="黑体"/>
          <w:sz w:val="32"/>
        </w:rPr>
        <w:t>国有资本经营预算支出情况。</w:t>
      </w:r>
    </w:p>
    <w:p>
      <w:pPr>
        <w:pStyle w:val="10"/>
        <w:spacing w:line="570" w:lineRule="exact"/>
        <w:ind w:left="640" w:firstLine="0" w:firstLineChars="0"/>
        <w:jc w:val="left"/>
        <w:outlineLvl w:val="0"/>
        <w:rPr>
          <w:rFonts w:ascii="Times New Roman" w:hAnsi="Times New Roman" w:eastAsia="仿宋_GB2312"/>
          <w:sz w:val="32"/>
        </w:rPr>
      </w:pPr>
      <w:r>
        <w:rPr>
          <w:rFonts w:hint="eastAsia" w:ascii="Times New Roman" w:hAnsi="Times New Roman" w:eastAsia="仿宋_GB2312"/>
          <w:color w:val="000000"/>
          <w:sz w:val="32"/>
        </w:rPr>
        <w:t>我单位无国有资本经营预算支出情况。</w:t>
      </w:r>
    </w:p>
    <w:p>
      <w:pPr>
        <w:pStyle w:val="10"/>
        <w:numPr>
          <w:ilvl w:val="0"/>
          <w:numId w:val="1"/>
        </w:numPr>
        <w:spacing w:line="570" w:lineRule="exact"/>
        <w:ind w:firstLineChars="0"/>
        <w:jc w:val="left"/>
        <w:outlineLvl w:val="0"/>
        <w:rPr>
          <w:rFonts w:ascii="Times New Roman" w:hAnsi="Times New Roman" w:eastAsia="黑体"/>
          <w:sz w:val="32"/>
        </w:rPr>
      </w:pPr>
      <w:r>
        <w:rPr>
          <w:rFonts w:hint="eastAsia" w:ascii="Times New Roman" w:hAnsi="Times New Roman" w:eastAsia="黑体"/>
          <w:sz w:val="32"/>
        </w:rPr>
        <w:t>社会保险基金预算支出情况。</w:t>
      </w:r>
    </w:p>
    <w:p>
      <w:pPr>
        <w:pStyle w:val="10"/>
        <w:spacing w:line="580" w:lineRule="exact"/>
        <w:ind w:left="420" w:leftChars="20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本年度我校机关事业单位基本养老保险缴费支出13.71万元;基本医疗保险缴费支出8.15万元。</w:t>
      </w:r>
    </w:p>
    <w:p>
      <w:pPr>
        <w:spacing w:line="570" w:lineRule="exact"/>
        <w:ind w:firstLine="645"/>
        <w:jc w:val="left"/>
        <w:outlineLvl w:val="0"/>
        <w:rPr>
          <w:rFonts w:hint="default" w:eastAsia="黑体"/>
          <w:sz w:val="32"/>
        </w:rPr>
      </w:pPr>
      <w:r>
        <w:rPr>
          <w:rFonts w:eastAsia="黑体"/>
          <w:sz w:val="32"/>
        </w:rPr>
        <w:t>六、部门整体支出绩效情况</w:t>
      </w:r>
    </w:p>
    <w:p>
      <w:pPr>
        <w:spacing w:line="58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按照文件要求，我们根据部门整体支出绩效考评指标对我单位2023年基本支出、三公经费、项目支出和厉行节约等方面的情况进行自评，主要包括预算配置、预算执行、预算管理、职责履行、履职效益及厉行节约保障措施等方面的情况，详见附件2、附件3。</w:t>
      </w:r>
    </w:p>
    <w:p>
      <w:pPr>
        <w:adjustRightInd w:val="0"/>
        <w:spacing w:line="580" w:lineRule="exact"/>
        <w:ind w:firstLine="720"/>
        <w:jc w:val="left"/>
        <w:rPr>
          <w:rFonts w:hint="default" w:ascii="仿宋_GB2312" w:hAnsi="仿宋_GB2312" w:eastAsia="仿宋_GB2312" w:cs="仿宋_GB2312"/>
          <w:sz w:val="32"/>
          <w:szCs w:val="32"/>
        </w:rPr>
      </w:pPr>
      <w:r>
        <w:rPr>
          <w:rFonts w:ascii="仿宋_GB2312" w:hAnsi="仿宋_GB2312" w:eastAsia="仿宋_GB2312" w:cs="仿宋_GB2312"/>
          <w:sz w:val="32"/>
          <w:szCs w:val="32"/>
        </w:rPr>
        <w:t>我单位历来重视单位内部管理制度建设及监督，加强财务管理，强化财务监督，增强法纪观念，遵守规章制度。为保证财务管理工作规范有序进行，我校制订了相关财务管理的制度、规定，成立了财务监督小组，加强内部控制和监督。对各项资金的管理、经费收支审批等均作了明确规定，正确 组织资金的筹集、调度和使用，债权债务及时结算、结清。各项经费支出实行限额把关、一支笔审批制度。强化制度执行。切实做好厉行节约工作，全面落实各项管理制度要求，努力降低行政成本。严格公务接待费、差旅费、会 议费和培训费审核审批程序，做到一事一公函、一事一审批、一事一结账。</w:t>
      </w:r>
    </w:p>
    <w:p>
      <w:pPr>
        <w:spacing w:line="58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整体支出控管措施</w:t>
      </w:r>
    </w:p>
    <w:p>
      <w:pPr>
        <w:spacing w:line="580" w:lineRule="exact"/>
        <w:ind w:firstLine="160" w:firstLineChars="50"/>
        <w:rPr>
          <w:rFonts w:hint="default" w:ascii="仿宋_GB2312" w:hAnsi="仿宋_GB2312" w:eastAsia="仿宋_GB2312" w:cs="仿宋_GB2312"/>
          <w:sz w:val="32"/>
          <w:szCs w:val="32"/>
        </w:rPr>
      </w:pPr>
      <w:r>
        <w:rPr>
          <w:rFonts w:ascii="仿宋_GB2312" w:hAnsi="仿宋_GB2312" w:eastAsia="仿宋_GB2312" w:cs="仿宋_GB2312"/>
          <w:sz w:val="32"/>
          <w:szCs w:val="32"/>
        </w:rPr>
        <w:t>（一）加强部门预算管理,合理安排财政资金。增强行政成本意识，细化经费预算编制，在保证单位正常工作需要的人员经费和公用经费的前提下，严格控制 “三公”经费支出。各项支出遵照预算执行，确保支出与预算的对应衔 接，着力提高预算执行力。</w:t>
      </w:r>
    </w:p>
    <w:p>
      <w:pPr>
        <w:spacing w:line="580" w:lineRule="exact"/>
        <w:ind w:firstLine="160" w:firstLineChars="50"/>
        <w:rPr>
          <w:rFonts w:hint="default" w:ascii="仿宋_GB2312" w:hAnsi="仿宋_GB2312" w:eastAsia="仿宋_GB2312" w:cs="仿宋_GB2312"/>
          <w:sz w:val="32"/>
          <w:szCs w:val="32"/>
        </w:rPr>
      </w:pPr>
      <w:r>
        <w:rPr>
          <w:rFonts w:ascii="仿宋_GB2312" w:hAnsi="仿宋_GB2312" w:eastAsia="仿宋_GB2312" w:cs="仿宋_GB2312"/>
          <w:sz w:val="32"/>
          <w:szCs w:val="32"/>
        </w:rPr>
        <w:t>（二）加强“三公”经费管理，严控“三公”经费规模。我单位在既有的制度办法基础上，进一步研究完善公务接待、公务用车配置使用和因公出国(境)等管理制度和审核程序，将  “三公”经费严格纳入预算管理，严控 “三公”经费支出。具体情况是：</w:t>
      </w:r>
    </w:p>
    <w:p>
      <w:pPr>
        <w:spacing w:line="580" w:lineRule="exact"/>
        <w:ind w:firstLine="480" w:firstLineChars="150"/>
        <w:rPr>
          <w:rFonts w:hint="default" w:ascii="仿宋_GB2312" w:hAnsi="仿宋_GB2312" w:eastAsia="仿宋_GB2312" w:cs="仿宋_GB2312"/>
          <w:sz w:val="32"/>
          <w:szCs w:val="32"/>
        </w:rPr>
      </w:pPr>
      <w:r>
        <w:rPr>
          <w:rFonts w:ascii="仿宋_GB2312" w:hAnsi="仿宋_GB2312" w:eastAsia="仿宋_GB2312" w:cs="仿宋_GB2312"/>
          <w:sz w:val="32"/>
          <w:szCs w:val="32"/>
        </w:rPr>
        <w:t>1、公务接待费。2023年公务接待费预算0.5万元，而实际接待0.48万元，在公务接待中做到了“四严格”，即严格预算管理，规定接待经费严格控制在预算额度内使用；严格审批程序，规定了公务接待的审批权限；严格接待标准，规定住宿、用餐原则上安排在财政指定的公务接待定点宾馆或者机关食堂，原则上都安排自助餐，如有重要接待，也以湘菜为主；严格报账，要求公务接待费用实行“一支笔”审批，严格执行先审批，后接待的程序。</w:t>
      </w:r>
    </w:p>
    <w:p>
      <w:pPr>
        <w:spacing w:line="58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2、公务用车购置及运行费无。</w:t>
      </w:r>
    </w:p>
    <w:p>
      <w:pPr>
        <w:spacing w:line="580" w:lineRule="exact"/>
        <w:ind w:firstLine="320" w:firstLineChars="100"/>
        <w:rPr>
          <w:rFonts w:hint="default" w:ascii="仿宋_GB2312" w:hAnsi="仿宋_GB2312" w:eastAsia="仿宋_GB2312" w:cs="仿宋_GB2312"/>
          <w:sz w:val="32"/>
          <w:szCs w:val="32"/>
        </w:rPr>
      </w:pPr>
      <w:r>
        <w:rPr>
          <w:rFonts w:ascii="仿宋_GB2312" w:hAnsi="仿宋_GB2312" w:eastAsia="仿宋_GB2312" w:cs="仿宋_GB2312"/>
          <w:sz w:val="32"/>
          <w:szCs w:val="32"/>
        </w:rPr>
        <w:t>（三）加强对公用支出中重点费用的管理。规范会议费、培训费、差旅费、办公费等费用开支标准，按照国家规定的标准和范围列支，控制会议培训的数量、规模，简化会议培训的形式；控制差旅活动的人数和天数，不安排无明确目的的公务考察活动；坚持厉行节约的原则，控制和压缩办公经费支出，各项费用严格控制在预算额度内使用。</w:t>
      </w:r>
    </w:p>
    <w:p>
      <w:pPr>
        <w:spacing w:line="580" w:lineRule="exact"/>
        <w:ind w:firstLine="320" w:firstLineChars="100"/>
        <w:rPr>
          <w:rFonts w:hint="default" w:ascii="仿宋_GB2312" w:hAnsi="仿宋_GB2312" w:eastAsia="仿宋_GB2312" w:cs="仿宋_GB2312"/>
          <w:color w:val="000000"/>
          <w:sz w:val="32"/>
        </w:rPr>
      </w:pPr>
      <w:r>
        <w:rPr>
          <w:rFonts w:ascii="仿宋_GB2312" w:hAnsi="仿宋_GB2312" w:eastAsia="仿宋_GB2312" w:cs="仿宋_GB2312"/>
          <w:sz w:val="32"/>
          <w:szCs w:val="32"/>
        </w:rPr>
        <w:t>（四）规范资金结算管理。经费报批实行"一支笔"审批制度，各项支出按照批准的预算和有关规定审核办理，各项费用严格按照经费审批程序审批后才能报销，杜绝不合理的开支。资金支付执行国库集中支付制度和公务卡结算有关规定，尽量采用银行转账或者公务卡结算方式，规范公务支出中的现金提取和使用，保证资金支付的安全、透明、规范，提高财政资金支付效率。</w:t>
      </w:r>
    </w:p>
    <w:p>
      <w:pPr>
        <w:pStyle w:val="10"/>
        <w:spacing w:line="570" w:lineRule="exact"/>
        <w:ind w:firstLine="640"/>
        <w:jc w:val="left"/>
        <w:outlineLvl w:val="0"/>
        <w:rPr>
          <w:rFonts w:ascii="Times New Roman" w:hAnsi="Times New Roman" w:eastAsia="黑体"/>
          <w:sz w:val="32"/>
        </w:rPr>
      </w:pPr>
      <w:r>
        <w:rPr>
          <w:rFonts w:hint="eastAsia" w:ascii="Times New Roman" w:hAnsi="Times New Roman" w:eastAsia="黑体"/>
          <w:sz w:val="32"/>
        </w:rPr>
        <w:t>七、存在的问题及原因分析</w:t>
      </w:r>
    </w:p>
    <w:p>
      <w:pPr>
        <w:adjustRightInd w:val="0"/>
        <w:spacing w:line="580" w:lineRule="exact"/>
        <w:ind w:firstLine="640" w:firstLineChars="200"/>
        <w:jc w:val="left"/>
        <w:rPr>
          <w:rFonts w:hint="default" w:ascii="仿宋_GB2312" w:hAnsi="仿宋_GB2312" w:eastAsia="仿宋_GB2312" w:cs="仿宋_GB2312"/>
          <w:color w:val="3C3C3C"/>
          <w:sz w:val="32"/>
          <w:szCs w:val="32"/>
        </w:rPr>
      </w:pPr>
      <w:r>
        <w:rPr>
          <w:rFonts w:ascii="仿宋_GB2312" w:hAnsi="仿宋_GB2312" w:eastAsia="仿宋_GB2312" w:cs="仿宋_GB2312"/>
          <w:color w:val="3C3C3C"/>
          <w:sz w:val="32"/>
          <w:szCs w:val="32"/>
        </w:rPr>
        <w:t xml:space="preserve">1、预算编制工作有待细化。预算编制不够明确和细化，预算 编制的合理性需要提高，预算执行力度还要进一步加强。 </w:t>
      </w:r>
    </w:p>
    <w:p>
      <w:pPr>
        <w:spacing w:line="580" w:lineRule="exact"/>
        <w:ind w:firstLine="640" w:firstLineChars="200"/>
        <w:rPr>
          <w:rFonts w:hint="default" w:ascii="仿宋_GB2312" w:hAnsi="仿宋_GB2312" w:eastAsia="仿宋_GB2312" w:cs="仿宋_GB2312"/>
          <w:color w:val="3C3C3C"/>
          <w:sz w:val="32"/>
          <w:szCs w:val="32"/>
        </w:rPr>
      </w:pPr>
      <w:r>
        <w:rPr>
          <w:rFonts w:ascii="仿宋_GB2312" w:hAnsi="仿宋_GB2312" w:eastAsia="仿宋_GB2312" w:cs="仿宋_GB2312"/>
          <w:color w:val="3C3C3C"/>
          <w:sz w:val="32"/>
          <w:szCs w:val="32"/>
        </w:rPr>
        <w:t xml:space="preserve">2、因单位人员较多导致经费不足:绩效工资和日常公用经费不足。 </w:t>
      </w:r>
    </w:p>
    <w:p>
      <w:pPr>
        <w:spacing w:line="570" w:lineRule="exact"/>
        <w:ind w:firstLine="640" w:firstLineChars="200"/>
        <w:jc w:val="left"/>
        <w:outlineLvl w:val="0"/>
        <w:rPr>
          <w:rFonts w:hint="default" w:eastAsia="黑体"/>
          <w:sz w:val="32"/>
        </w:rPr>
      </w:pPr>
      <w:r>
        <w:rPr>
          <w:rFonts w:eastAsia="黑体"/>
          <w:sz w:val="32"/>
        </w:rPr>
        <w:t>八、下一步改进措施</w:t>
      </w:r>
    </w:p>
    <w:p>
      <w:pPr>
        <w:adjustRightInd w:val="0"/>
        <w:spacing w:line="580" w:lineRule="exact"/>
        <w:ind w:firstLine="640" w:firstLineChars="200"/>
        <w:jc w:val="left"/>
        <w:rPr>
          <w:rFonts w:hint="default" w:ascii="仿宋_GB2312" w:hAnsi="仿宋_GB2312" w:eastAsia="仿宋_GB2312" w:cs="仿宋_GB2312"/>
          <w:color w:val="3C3C3C"/>
          <w:sz w:val="32"/>
          <w:szCs w:val="32"/>
        </w:rPr>
      </w:pPr>
      <w:r>
        <w:rPr>
          <w:rFonts w:ascii="仿宋_GB2312" w:hAnsi="仿宋_GB2312" w:eastAsia="仿宋_GB2312" w:cs="仿宋_GB2312"/>
          <w:color w:val="3C3C3C"/>
          <w:sz w:val="32"/>
          <w:szCs w:val="32"/>
        </w:rPr>
        <w:t>针对上述存在的问题及对外整体支出管理工作的需要，拟实施的改进措施如下:</w:t>
      </w:r>
    </w:p>
    <w:p>
      <w:pPr>
        <w:adjustRightInd w:val="0"/>
        <w:spacing w:line="580" w:lineRule="exact"/>
        <w:ind w:firstLine="640" w:firstLineChars="200"/>
        <w:jc w:val="left"/>
        <w:rPr>
          <w:rFonts w:hint="default" w:ascii="仿宋_GB2312" w:hAnsi="仿宋_GB2312" w:eastAsia="仿宋_GB2312" w:cs="仿宋_GB2312"/>
          <w:color w:val="3C3C3C"/>
          <w:sz w:val="32"/>
          <w:szCs w:val="32"/>
        </w:rPr>
      </w:pPr>
      <w:r>
        <w:rPr>
          <w:rFonts w:ascii="仿宋_GB2312" w:hAnsi="仿宋_GB2312" w:eastAsia="仿宋_GB2312" w:cs="仿宋_GB2312"/>
          <w:color w:val="3C3C3C"/>
          <w:sz w:val="32"/>
          <w:szCs w:val="32"/>
        </w:rPr>
        <w:t xml:space="preserve"> 1、细化预算编制工作，认真做好预算的编制。进一步加强单 位内部机构各股室的预算管理意识，严格按照预算编制的相关制 度和要求进行预算编制;全面编制预算项目，优先保障固定性的、 相对刚性的费用支出项目，尽量压缩变动性的、有控制空间的费 用项目，进一步提高预算编制的科学性、严谨性和可控性。加强内部预算编制的审核和预算控制指标的下达。 </w:t>
      </w:r>
    </w:p>
    <w:p>
      <w:pPr>
        <w:adjustRightInd w:val="0"/>
        <w:spacing w:line="580" w:lineRule="exact"/>
        <w:ind w:firstLine="640" w:firstLineChars="200"/>
        <w:jc w:val="left"/>
        <w:rPr>
          <w:rFonts w:hint="default" w:ascii="仿宋_GB2312" w:hAnsi="仿宋_GB2312" w:eastAsia="仿宋_GB2312" w:cs="仿宋_GB2312"/>
          <w:color w:val="3C3C3C"/>
          <w:sz w:val="32"/>
          <w:szCs w:val="32"/>
        </w:rPr>
      </w:pPr>
      <w:r>
        <w:rPr>
          <w:rFonts w:ascii="仿宋_GB2312" w:hAnsi="仿宋_GB2312" w:eastAsia="仿宋_GB2312" w:cs="仿宋_GB2312"/>
          <w:color w:val="3C3C3C"/>
          <w:sz w:val="32"/>
          <w:szCs w:val="32"/>
        </w:rPr>
        <w:t xml:space="preserve">2、加强财务管理，严格财务审核。加强单位财务管理，健全 单位财务管理制度体系，规范单位财务行为。在费用报账支付时， 按照预算规定的费用项目和用途进行资金使用审核、列报支付、 财务核算，杜绝超支现象的发生。 </w:t>
      </w:r>
    </w:p>
    <w:p>
      <w:pPr>
        <w:adjustRightInd w:val="0"/>
        <w:spacing w:line="580" w:lineRule="exact"/>
        <w:ind w:firstLine="640" w:firstLineChars="200"/>
        <w:jc w:val="left"/>
        <w:rPr>
          <w:rFonts w:hint="default" w:ascii="仿宋_GB2312" w:hAnsi="仿宋_GB2312" w:eastAsia="仿宋_GB2312" w:cs="仿宋_GB2312"/>
          <w:color w:val="3C3C3C"/>
          <w:sz w:val="32"/>
          <w:szCs w:val="32"/>
        </w:rPr>
      </w:pPr>
      <w:r>
        <w:rPr>
          <w:rFonts w:ascii="仿宋_GB2312" w:hAnsi="仿宋_GB2312" w:eastAsia="仿宋_GB2312" w:cs="仿宋_GB2312"/>
          <w:color w:val="3C3C3C"/>
          <w:sz w:val="32"/>
          <w:szCs w:val="32"/>
        </w:rPr>
        <w:t>3、完善资产管理，抓好“三公”经费控制。严格编制政府采 购年初预算和计划，规范各类资产的购置审批制度、资产出租出 借和收入管理制度、资产采购制度、使用管理制度、资产处置和 报废审批制度、资产管理岗位职责制度等，加强单位内部的资产 管理工作。严格控制“三公”经费的规模和比例，把关“三公” 经费支出的审核、审批，杜绝挪用和挤占其他预算资金行为;进 一步细化“三公”经费的管理，合理压缩“三公”经费支出。</w:t>
      </w:r>
    </w:p>
    <w:p>
      <w:pPr>
        <w:adjustRightInd w:val="0"/>
        <w:spacing w:line="580" w:lineRule="exact"/>
        <w:ind w:firstLine="640" w:firstLineChars="200"/>
        <w:jc w:val="left"/>
        <w:rPr>
          <w:rFonts w:hint="default"/>
        </w:rPr>
      </w:pPr>
      <w:r>
        <w:rPr>
          <w:rFonts w:ascii="仿宋_GB2312" w:hAnsi="仿宋_GB2312" w:eastAsia="仿宋_GB2312" w:cs="仿宋_GB2312"/>
          <w:color w:val="3C3C3C"/>
          <w:sz w:val="32"/>
          <w:szCs w:val="32"/>
        </w:rPr>
        <w:t xml:space="preserve"> 4、对相关人员加强培训，特别是针对《预算法》、《行政事业单位会计制度》等学习培训，规范部门预算收支核算，切实提高部门预算收支管理水平。</w:t>
      </w:r>
    </w:p>
    <w:p>
      <w:pPr>
        <w:spacing w:line="570" w:lineRule="exact"/>
        <w:ind w:firstLine="645"/>
        <w:jc w:val="left"/>
        <w:outlineLvl w:val="0"/>
        <w:rPr>
          <w:rFonts w:hint="default" w:eastAsia="黑体"/>
          <w:sz w:val="32"/>
        </w:rPr>
      </w:pPr>
      <w:r>
        <w:rPr>
          <w:rFonts w:eastAsia="黑体"/>
          <w:sz w:val="32"/>
        </w:rPr>
        <w:t>九、部门整体支出绩效自评结果拟应用和公开情况</w:t>
      </w:r>
    </w:p>
    <w:p>
      <w:pPr>
        <w:spacing w:line="58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绩效评价结果应用，既是开展绩效评价工作的基本前提，又是加强财政支出管理、增强资金绩效理念、合理配置公共资源、优化财政支出结构、强化资金管理水平、提高资金使用效益的重要手段。为使绩效评价结果得到合理应用，应将此次绩效评价结果作为以后年度建设资金分配的重要依据，结合我校实际将支出进行合理化分配,以达到合理高效地运用资金、提升资金的产出效果、节约成本与资源、提高部门的办事效率的目的，使财政资金发挥出最大的效益，进一步提升财政精细化管理水平。</w:t>
      </w:r>
    </w:p>
    <w:p>
      <w:pPr>
        <w:spacing w:line="580" w:lineRule="exact"/>
        <w:ind w:firstLine="640" w:firstLineChars="200"/>
        <w:rPr>
          <w:rFonts w:hint="default" w:ascii="仿宋_GB2312" w:hAnsi="仿宋_GB2312" w:eastAsia="仿宋_GB2312" w:cs="仿宋_GB2312"/>
          <w:sz w:val="32"/>
        </w:rPr>
      </w:pPr>
      <w:r>
        <w:rPr>
          <w:rFonts w:ascii="仿宋_GB2312" w:hAnsi="仿宋_GB2312" w:eastAsia="仿宋_GB2312" w:cs="仿宋_GB2312"/>
          <w:sz w:val="32"/>
          <w:szCs w:val="32"/>
        </w:rPr>
        <w:t>除涉密信息外，我单位拟在2024年6月30日前将项目支出资金绩效评价报告和部门整体支出绩效评价报告在县人民政府网站统一平台上公开，接受社会监督。</w:t>
      </w:r>
    </w:p>
    <w:p>
      <w:pPr>
        <w:spacing w:line="440" w:lineRule="exact"/>
        <w:rPr>
          <w:rFonts w:hint="default" w:ascii="黑体" w:hAnsi="黑体" w:eastAsia="黑体" w:cs="黑体"/>
          <w:sz w:val="32"/>
          <w:szCs w:val="32"/>
        </w:rPr>
      </w:pPr>
    </w:p>
    <w:p>
      <w:pPr>
        <w:spacing w:line="440" w:lineRule="exact"/>
        <w:jc w:val="left"/>
        <w:rPr>
          <w:rFonts w:hint="default" w:ascii="黑体" w:hAnsi="黑体" w:eastAsia="黑体" w:cs="黑体"/>
          <w:sz w:val="32"/>
          <w:szCs w:val="32"/>
        </w:rPr>
      </w:pPr>
    </w:p>
    <w:p>
      <w:pPr>
        <w:spacing w:line="440" w:lineRule="exact"/>
        <w:jc w:val="left"/>
        <w:rPr>
          <w:rFonts w:hint="default" w:ascii="黑体" w:hAnsi="黑体" w:eastAsia="黑体" w:cs="黑体"/>
          <w:sz w:val="32"/>
          <w:szCs w:val="32"/>
        </w:rPr>
      </w:pPr>
    </w:p>
    <w:p>
      <w:pPr>
        <w:spacing w:line="440" w:lineRule="exact"/>
        <w:jc w:val="left"/>
        <w:rPr>
          <w:rFonts w:hint="default" w:ascii="黑体" w:hAnsi="黑体" w:eastAsia="黑体" w:cs="黑体"/>
          <w:sz w:val="32"/>
          <w:szCs w:val="32"/>
        </w:rPr>
      </w:pPr>
    </w:p>
    <w:p>
      <w:pPr>
        <w:spacing w:line="440" w:lineRule="exact"/>
        <w:jc w:val="left"/>
        <w:rPr>
          <w:rFonts w:hint="default" w:ascii="黑体" w:hAnsi="黑体" w:eastAsia="黑体" w:cs="黑体"/>
          <w:sz w:val="32"/>
          <w:szCs w:val="32"/>
        </w:rPr>
      </w:pPr>
    </w:p>
    <w:p>
      <w:pPr>
        <w:spacing w:line="440" w:lineRule="exact"/>
        <w:jc w:val="left"/>
        <w:rPr>
          <w:rFonts w:hint="default" w:ascii="黑体" w:hAnsi="黑体" w:eastAsia="黑体" w:cs="黑体"/>
          <w:sz w:val="32"/>
          <w:szCs w:val="32"/>
        </w:rPr>
      </w:pPr>
    </w:p>
    <w:p>
      <w:pPr>
        <w:spacing w:line="440" w:lineRule="exact"/>
        <w:jc w:val="left"/>
        <w:rPr>
          <w:rFonts w:hint="default" w:ascii="黑体" w:hAnsi="黑体" w:eastAsia="黑体" w:cs="黑体"/>
          <w:sz w:val="32"/>
          <w:szCs w:val="32"/>
        </w:rPr>
      </w:pPr>
    </w:p>
    <w:p>
      <w:pPr>
        <w:spacing w:line="440" w:lineRule="exact"/>
        <w:jc w:val="left"/>
        <w:rPr>
          <w:rFonts w:hint="default" w:ascii="黑体" w:hAnsi="黑体" w:eastAsia="黑体" w:cs="黑体"/>
          <w:sz w:val="32"/>
          <w:szCs w:val="32"/>
        </w:rPr>
      </w:pPr>
    </w:p>
    <w:p>
      <w:pPr>
        <w:spacing w:line="440" w:lineRule="exact"/>
        <w:jc w:val="left"/>
        <w:rPr>
          <w:rFonts w:hint="default" w:ascii="黑体" w:hAnsi="黑体" w:eastAsia="黑体" w:cs="黑体"/>
          <w:sz w:val="32"/>
          <w:szCs w:val="32"/>
        </w:rPr>
      </w:pPr>
    </w:p>
    <w:p>
      <w:pPr>
        <w:spacing w:line="440" w:lineRule="exact"/>
        <w:jc w:val="left"/>
        <w:rPr>
          <w:rFonts w:hint="default" w:ascii="黑体" w:hAnsi="黑体" w:eastAsia="黑体" w:cs="黑体"/>
          <w:sz w:val="32"/>
          <w:szCs w:val="32"/>
        </w:rPr>
      </w:pPr>
    </w:p>
    <w:p>
      <w:pPr>
        <w:spacing w:line="440" w:lineRule="exact"/>
        <w:jc w:val="left"/>
        <w:rPr>
          <w:rFonts w:hint="default" w:ascii="黑体" w:hAnsi="黑体" w:eastAsia="黑体" w:cs="黑体"/>
          <w:sz w:val="32"/>
          <w:szCs w:val="32"/>
        </w:rPr>
      </w:pPr>
    </w:p>
    <w:p>
      <w:pPr>
        <w:spacing w:line="440" w:lineRule="exact"/>
        <w:jc w:val="left"/>
        <w:rPr>
          <w:rFonts w:hint="default" w:ascii="黑体" w:hAnsi="黑体" w:eastAsia="黑体" w:cs="黑体"/>
          <w:sz w:val="32"/>
          <w:szCs w:val="32"/>
        </w:rPr>
      </w:pPr>
    </w:p>
    <w:p>
      <w:pPr>
        <w:spacing w:line="440" w:lineRule="exact"/>
        <w:jc w:val="left"/>
        <w:rPr>
          <w:rFonts w:hint="default" w:ascii="黑体" w:hAnsi="黑体" w:eastAsia="黑体" w:cs="黑体"/>
          <w:sz w:val="32"/>
          <w:szCs w:val="32"/>
        </w:rPr>
      </w:pPr>
    </w:p>
    <w:p>
      <w:pPr>
        <w:spacing w:line="440" w:lineRule="exact"/>
        <w:jc w:val="left"/>
        <w:rPr>
          <w:rFonts w:hint="default" w:ascii="黑体" w:hAnsi="黑体" w:eastAsia="黑体" w:cs="黑体"/>
          <w:sz w:val="32"/>
          <w:szCs w:val="32"/>
        </w:rPr>
      </w:pPr>
    </w:p>
    <w:p>
      <w:pPr>
        <w:spacing w:line="440" w:lineRule="exact"/>
        <w:jc w:val="left"/>
        <w:rPr>
          <w:rFonts w:hint="default" w:ascii="黑体" w:hAnsi="黑体" w:eastAsia="黑体" w:cs="黑体"/>
          <w:sz w:val="32"/>
          <w:szCs w:val="32"/>
        </w:rPr>
      </w:pPr>
    </w:p>
    <w:p>
      <w:pPr>
        <w:spacing w:line="440" w:lineRule="exact"/>
        <w:jc w:val="left"/>
        <w:rPr>
          <w:rFonts w:hint="default" w:ascii="黑体" w:hAnsi="黑体" w:eastAsia="黑体" w:cs="黑体"/>
          <w:sz w:val="32"/>
          <w:szCs w:val="32"/>
        </w:rPr>
      </w:pPr>
    </w:p>
    <w:p>
      <w:pPr>
        <w:spacing w:line="440" w:lineRule="exact"/>
        <w:jc w:val="left"/>
        <w:rPr>
          <w:rFonts w:hint="default" w:ascii="黑体" w:hAnsi="黑体" w:eastAsia="黑体" w:cs="黑体"/>
          <w:sz w:val="32"/>
          <w:szCs w:val="32"/>
        </w:rPr>
      </w:pPr>
    </w:p>
    <w:p>
      <w:pPr>
        <w:spacing w:line="440" w:lineRule="exact"/>
        <w:jc w:val="left"/>
        <w:rPr>
          <w:rFonts w:hint="default" w:ascii="黑体" w:hAnsi="黑体" w:eastAsia="黑体" w:cs="黑体"/>
          <w:sz w:val="32"/>
          <w:szCs w:val="32"/>
        </w:rPr>
      </w:pPr>
    </w:p>
    <w:p>
      <w:pPr>
        <w:spacing w:line="440" w:lineRule="exact"/>
        <w:jc w:val="left"/>
        <w:rPr>
          <w:rFonts w:hint="default" w:ascii="黑体" w:hAnsi="黑体" w:eastAsia="黑体" w:cs="黑体"/>
          <w:sz w:val="32"/>
          <w:szCs w:val="32"/>
        </w:rPr>
      </w:pPr>
    </w:p>
    <w:p>
      <w:pPr>
        <w:spacing w:line="440" w:lineRule="exact"/>
        <w:jc w:val="left"/>
        <w:rPr>
          <w:rFonts w:hint="default" w:ascii="黑体" w:hAnsi="黑体" w:eastAsia="黑体" w:cs="黑体"/>
          <w:sz w:val="32"/>
          <w:szCs w:val="32"/>
        </w:rPr>
      </w:pPr>
    </w:p>
    <w:p>
      <w:pPr>
        <w:spacing w:line="440" w:lineRule="exact"/>
        <w:jc w:val="left"/>
        <w:rPr>
          <w:rFonts w:hint="default" w:ascii="黑体" w:hAnsi="黑体" w:eastAsia="黑体" w:cs="黑体"/>
          <w:sz w:val="32"/>
          <w:szCs w:val="32"/>
        </w:rPr>
      </w:pPr>
    </w:p>
    <w:p>
      <w:pPr>
        <w:spacing w:line="440" w:lineRule="exact"/>
        <w:jc w:val="left"/>
        <w:rPr>
          <w:rFonts w:hint="default" w:ascii="黑体" w:hAnsi="黑体" w:eastAsia="黑体" w:cs="黑体"/>
          <w:sz w:val="32"/>
          <w:szCs w:val="32"/>
        </w:rPr>
      </w:pPr>
    </w:p>
    <w:p>
      <w:pPr>
        <w:spacing w:line="440" w:lineRule="exact"/>
        <w:jc w:val="left"/>
        <w:rPr>
          <w:rFonts w:hint="default" w:ascii="黑体" w:hAnsi="黑体" w:eastAsia="黑体" w:cs="黑体"/>
          <w:sz w:val="32"/>
          <w:szCs w:val="32"/>
        </w:rPr>
      </w:pPr>
    </w:p>
    <w:p>
      <w:pPr>
        <w:spacing w:line="440" w:lineRule="exact"/>
        <w:jc w:val="left"/>
        <w:rPr>
          <w:rFonts w:hint="default" w:ascii="黑体" w:hAnsi="黑体" w:eastAsia="黑体" w:cs="黑体"/>
          <w:sz w:val="32"/>
          <w:szCs w:val="32"/>
        </w:rPr>
      </w:pPr>
    </w:p>
    <w:p>
      <w:pPr>
        <w:spacing w:line="440" w:lineRule="exact"/>
        <w:jc w:val="left"/>
        <w:rPr>
          <w:rFonts w:hint="default" w:ascii="黑体" w:hAnsi="黑体" w:eastAsia="黑体" w:cs="黑体"/>
          <w:sz w:val="32"/>
          <w:szCs w:val="32"/>
        </w:rPr>
      </w:pP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2022年度部门整体支出绩效自评表</w:t>
      </w:r>
    </w:p>
    <w:tbl>
      <w:tblPr>
        <w:tblStyle w:val="7"/>
        <w:tblW w:w="1528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2"/>
        <w:gridCol w:w="948"/>
        <w:gridCol w:w="930"/>
        <w:gridCol w:w="3145"/>
        <w:gridCol w:w="1111"/>
        <w:gridCol w:w="4256"/>
        <w:gridCol w:w="885"/>
        <w:gridCol w:w="718"/>
        <w:gridCol w:w="884"/>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县级预算部门名称</w:t>
            </w:r>
          </w:p>
        </w:tc>
        <w:tc>
          <w:tcPr>
            <w:tcW w:w="14320" w:type="dxa"/>
            <w:gridSpan w:val="9"/>
            <w:tcBorders>
              <w:top w:val="single" w:color="auto" w:sz="12"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双牌县五星岭乡中心小学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年度预</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算申请</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p>
        </w:tc>
        <w:tc>
          <w:tcPr>
            <w:tcW w:w="314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年初预算数</w:t>
            </w:r>
          </w:p>
        </w:tc>
        <w:tc>
          <w:tcPr>
            <w:tcW w:w="5367"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全年预算数</w:t>
            </w:r>
          </w:p>
        </w:tc>
        <w:tc>
          <w:tcPr>
            <w:tcW w:w="8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全年执行数</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执行率</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年度资金总额</w:t>
            </w:r>
          </w:p>
        </w:tc>
        <w:tc>
          <w:tcPr>
            <w:tcW w:w="314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72.11</w:t>
            </w:r>
          </w:p>
        </w:tc>
        <w:tc>
          <w:tcPr>
            <w:tcW w:w="5367"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72.11</w:t>
            </w:r>
          </w:p>
        </w:tc>
        <w:tc>
          <w:tcPr>
            <w:tcW w:w="8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66.11</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91.67%</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9.25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10390"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按收入性质分：</w:t>
            </w:r>
          </w:p>
        </w:tc>
        <w:tc>
          <w:tcPr>
            <w:tcW w:w="3930"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10390"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xml:space="preserve">  其中：  一般公共预算：72.11</w:t>
            </w:r>
          </w:p>
        </w:tc>
        <w:tc>
          <w:tcPr>
            <w:tcW w:w="3930"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其中：基本支出：66.115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10390"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ind w:firstLine="960" w:firstLineChars="4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政府性基金拨款：0</w:t>
            </w:r>
          </w:p>
        </w:tc>
        <w:tc>
          <w:tcPr>
            <w:tcW w:w="3930"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ind w:firstLine="720" w:firstLineChars="3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项目支出：0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10390"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纳入专户管理的非税收入拨款：0</w:t>
            </w:r>
          </w:p>
        </w:tc>
        <w:tc>
          <w:tcPr>
            <w:tcW w:w="3930"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10390"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ind w:firstLine="1680" w:firstLineChars="7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其他资金：0</w:t>
            </w:r>
          </w:p>
        </w:tc>
        <w:tc>
          <w:tcPr>
            <w:tcW w:w="3930"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年度总体目标</w:t>
            </w:r>
          </w:p>
        </w:tc>
        <w:tc>
          <w:tcPr>
            <w:tcW w:w="10390"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预期目标</w:t>
            </w:r>
          </w:p>
        </w:tc>
        <w:tc>
          <w:tcPr>
            <w:tcW w:w="3930"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10390"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宋体" w:hAnsi="宋体" w:eastAsia="宋体" w:cs="宋体"/>
                <w:kern w:val="0"/>
                <w:szCs w:val="21"/>
              </w:rPr>
            </w:pPr>
            <w:r>
              <w:rPr>
                <w:rFonts w:ascii="宋体" w:hAnsi="宋体" w:eastAsia="宋体" w:cs="宋体"/>
                <w:kern w:val="0"/>
                <w:szCs w:val="21"/>
              </w:rPr>
              <w:t>1：规范学校财务支出，严格保证学校平稳运行。</w:t>
            </w:r>
          </w:p>
          <w:p>
            <w:pPr>
              <w:spacing w:line="240" w:lineRule="exact"/>
              <w:jc w:val="center"/>
              <w:rPr>
                <w:rFonts w:hint="default" w:asciiTheme="minorEastAsia" w:hAnsiTheme="minorEastAsia" w:eastAsiaTheme="minorEastAsia" w:cstheme="minorEastAsia"/>
                <w:color w:val="000000"/>
                <w:sz w:val="24"/>
              </w:rPr>
            </w:pPr>
            <w:r>
              <w:rPr>
                <w:rFonts w:ascii="宋体" w:hAnsi="宋体" w:eastAsia="宋体" w:cs="宋体"/>
                <w:kern w:val="0"/>
                <w:szCs w:val="21"/>
              </w:rPr>
              <w:t xml:space="preserve">2：强化专项资金绩效管理，使资金效益最大化。   </w:t>
            </w:r>
          </w:p>
        </w:tc>
        <w:tc>
          <w:tcPr>
            <w:tcW w:w="3930"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宋体" w:hAnsi="宋体" w:eastAsia="宋体" w:cs="宋体"/>
                <w:color w:val="000000"/>
                <w:kern w:val="0"/>
                <w:szCs w:val="21"/>
              </w:rPr>
              <w:t>基本完成预期目标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绩</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w:t>
            </w:r>
          </w:p>
          <w:p>
            <w:pPr>
              <w:spacing w:line="240" w:lineRule="exact"/>
              <w:jc w:val="center"/>
              <w:rPr>
                <w:rFonts w:hint="default" w:asciiTheme="minorEastAsia" w:hAnsiTheme="minorEastAsia" w:eastAsiaTheme="minorEastAsia" w:cstheme="minorEastAsia"/>
                <w:color w:val="000000"/>
                <w:sz w:val="24"/>
              </w:rPr>
            </w:pPr>
          </w:p>
        </w:tc>
        <w:tc>
          <w:tcPr>
            <w:tcW w:w="94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二级指标</w:t>
            </w:r>
          </w:p>
        </w:tc>
        <w:tc>
          <w:tcPr>
            <w:tcW w:w="425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三级指标</w:t>
            </w:r>
          </w:p>
        </w:tc>
        <w:tc>
          <w:tcPr>
            <w:tcW w:w="425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年度指标值</w:t>
            </w:r>
          </w:p>
        </w:tc>
        <w:tc>
          <w:tcPr>
            <w:tcW w:w="8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实际完成值</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得分</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产出指标</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(50分)</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重点工作</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任务完成</w:t>
            </w:r>
          </w:p>
        </w:tc>
        <w:tc>
          <w:tcPr>
            <w:tcW w:w="425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学生毕业率</w:t>
            </w:r>
          </w:p>
        </w:tc>
        <w:tc>
          <w:tcPr>
            <w:tcW w:w="425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8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425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贫困学生资助</w:t>
            </w:r>
          </w:p>
        </w:tc>
        <w:tc>
          <w:tcPr>
            <w:tcW w:w="425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8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5</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5</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425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教学教研计划完成率</w:t>
            </w:r>
          </w:p>
        </w:tc>
        <w:tc>
          <w:tcPr>
            <w:tcW w:w="425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　</w:t>
            </w:r>
          </w:p>
        </w:tc>
        <w:tc>
          <w:tcPr>
            <w:tcW w:w="8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5</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425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固定资产管理</w:t>
            </w:r>
          </w:p>
        </w:tc>
        <w:tc>
          <w:tcPr>
            <w:tcW w:w="425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8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95%</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5</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4.5</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班级管理不够科学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425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资金使用率</w:t>
            </w:r>
          </w:p>
        </w:tc>
        <w:tc>
          <w:tcPr>
            <w:tcW w:w="425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8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　</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5</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5</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履职目</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标实现</w:t>
            </w:r>
          </w:p>
        </w:tc>
        <w:tc>
          <w:tcPr>
            <w:tcW w:w="425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宋体" w:hAnsi="宋体" w:eastAsia="宋体" w:cs="宋体"/>
                <w:color w:val="555555"/>
                <w:szCs w:val="21"/>
              </w:rPr>
              <w:t>人员工资按月发放</w:t>
            </w:r>
          </w:p>
        </w:tc>
        <w:tc>
          <w:tcPr>
            <w:tcW w:w="425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8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425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仿宋_GB2312" w:hAnsi="仿宋_GB2312"/>
                <w:kern w:val="0"/>
              </w:rPr>
              <w:t>足额开设课程、按时完成上级布置的各项任务</w:t>
            </w:r>
          </w:p>
        </w:tc>
        <w:tc>
          <w:tcPr>
            <w:tcW w:w="425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8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5</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4.5</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上缴布置的非教学任务过多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restart"/>
            <w:tcBorders>
              <w:top w:val="single" w:color="auto" w:sz="6" w:space="0"/>
              <w:left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效益指标</w:t>
            </w:r>
          </w:p>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（40分）</w:t>
            </w:r>
          </w:p>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p>
            <w:pPr>
              <w:spacing w:line="240" w:lineRule="exact"/>
              <w:jc w:val="center"/>
              <w:rPr>
                <w:rFonts w:hint="default" w:asciiTheme="minorEastAsia" w:hAnsiTheme="minorEastAsia" w:eastAsiaTheme="minorEastAsia" w:cstheme="minorEastAsia"/>
                <w:color w:val="000000"/>
                <w:sz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履职</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效益</w:t>
            </w:r>
          </w:p>
        </w:tc>
        <w:tc>
          <w:tcPr>
            <w:tcW w:w="425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color w:val="000000"/>
              </w:rPr>
              <w:t>注重个性差异，因人施教</w:t>
            </w:r>
          </w:p>
        </w:tc>
        <w:tc>
          <w:tcPr>
            <w:tcW w:w="425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color w:val="000000"/>
              </w:rPr>
              <w:t>提高国民素质</w:t>
            </w:r>
          </w:p>
        </w:tc>
        <w:tc>
          <w:tcPr>
            <w:tcW w:w="8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20</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18</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个体差异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p>
        </w:tc>
        <w:tc>
          <w:tcPr>
            <w:tcW w:w="425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color w:val="000000"/>
              </w:rPr>
              <w:t>培养学龄儿童体、智、德、美全面发展</w:t>
            </w:r>
          </w:p>
        </w:tc>
        <w:tc>
          <w:tcPr>
            <w:tcW w:w="425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养</w:t>
            </w:r>
            <w:r>
              <w:rPr>
                <w:color w:val="000000"/>
              </w:rPr>
              <w:t>成科学文明健康的学习、生活方式和行为习惯</w:t>
            </w:r>
          </w:p>
        </w:tc>
        <w:tc>
          <w:tcPr>
            <w:tcW w:w="8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20</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19</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个体差异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restart"/>
            <w:tcBorders>
              <w:top w:val="single" w:color="auto" w:sz="6" w:space="0"/>
              <w:left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满意度指标（10分）</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满意度</w:t>
            </w:r>
          </w:p>
        </w:tc>
        <w:tc>
          <w:tcPr>
            <w:tcW w:w="425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学生、家长满意度</w:t>
            </w:r>
          </w:p>
        </w:tc>
        <w:tc>
          <w:tcPr>
            <w:tcW w:w="425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90%以上</w:t>
            </w:r>
          </w:p>
        </w:tc>
        <w:tc>
          <w:tcPr>
            <w:tcW w:w="8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85%</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4.7</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Theme="minorEastAsia" w:hAnsiTheme="minorEastAsia" w:eastAsiaTheme="minorEastAsia" w:cstheme="minorEastAsia"/>
                <w:color w:val="000000"/>
                <w:sz w:val="18"/>
                <w:szCs w:val="18"/>
              </w:rPr>
              <w:t>疫情防控的复杂化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p>
        </w:tc>
        <w:tc>
          <w:tcPr>
            <w:tcW w:w="425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教师满意度</w:t>
            </w:r>
          </w:p>
        </w:tc>
        <w:tc>
          <w:tcPr>
            <w:tcW w:w="425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95%以上</w:t>
            </w:r>
          </w:p>
        </w:tc>
        <w:tc>
          <w:tcPr>
            <w:tcW w:w="88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93%</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5</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4.9</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7" w:hRule="atLeast"/>
          <w:jc w:val="center"/>
        </w:trPr>
        <w:tc>
          <w:tcPr>
            <w:tcW w:w="12237" w:type="dxa"/>
            <w:gridSpan w:val="7"/>
            <w:tcBorders>
              <w:top w:val="single" w:color="auto" w:sz="6" w:space="0"/>
              <w:left w:val="single" w:color="auto" w:sz="12" w:space="0"/>
              <w:bottom w:val="single" w:color="auto" w:sz="12"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总分</w:t>
            </w:r>
          </w:p>
        </w:tc>
        <w:tc>
          <w:tcPr>
            <w:tcW w:w="718"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884"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87.1</w:t>
            </w:r>
          </w:p>
        </w:tc>
        <w:tc>
          <w:tcPr>
            <w:tcW w:w="1443" w:type="dxa"/>
            <w:tcBorders>
              <w:top w:val="single" w:color="auto" w:sz="6" w:space="0"/>
              <w:left w:val="single" w:color="auto" w:sz="6" w:space="0"/>
              <w:bottom w:val="single" w:color="auto" w:sz="12" w:space="0"/>
              <w:right w:val="single" w:color="auto" w:sz="12" w:space="0"/>
              <w:tl2br w:val="nil"/>
              <w:tr2bl w:val="nil"/>
            </w:tcBorders>
            <w:noWrap/>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bl>
    <w:p>
      <w:pPr>
        <w:rPr>
          <w:rFonts w:hint="default" w:eastAsia="仿宋_GB2312"/>
          <w:sz w:val="22"/>
        </w:rPr>
      </w:pPr>
      <w:r>
        <w:rPr>
          <w:rFonts w:eastAsia="仿宋_GB2312"/>
          <w:sz w:val="22"/>
        </w:rPr>
        <w:t>填表人：盘心明 填报日期：2024.04.16联系电话：13789228151单位负责人签字：罗纯国</w:t>
      </w:r>
    </w:p>
    <w:p>
      <w:pPr>
        <w:pStyle w:val="2"/>
        <w:ind w:left="420" w:firstLine="440"/>
        <w:rPr>
          <w:rFonts w:hint="default" w:eastAsia="仿宋_GB2312"/>
          <w:sz w:val="22"/>
        </w:rPr>
      </w:pPr>
    </w:p>
    <w:p>
      <w:pPr>
        <w:spacing w:afterLines="100" w:line="600" w:lineRule="exact"/>
        <w:jc w:val="center"/>
        <w:outlineLvl w:val="0"/>
        <w:rPr>
          <w:rFonts w:hint="default" w:ascii="宋体" w:hAnsi="宋体" w:eastAsia="宋体" w:cs="宋体"/>
          <w:b/>
          <w:bCs/>
          <w:sz w:val="40"/>
          <w:szCs w:val="40"/>
        </w:rPr>
      </w:pPr>
      <w:r>
        <w:rPr>
          <w:rFonts w:ascii="宋体" w:hAnsi="宋体" w:eastAsia="宋体" w:cs="宋体"/>
          <w:b/>
          <w:bCs/>
          <w:sz w:val="40"/>
          <w:szCs w:val="40"/>
        </w:rPr>
        <w:t>双牌县五星岭乡中心小学</w:t>
      </w:r>
    </w:p>
    <w:p>
      <w:pPr>
        <w:spacing w:afterLines="100" w:line="600" w:lineRule="exact"/>
        <w:jc w:val="center"/>
        <w:outlineLvl w:val="0"/>
        <w:rPr>
          <w:rFonts w:hint="default" w:ascii="宋体" w:hAnsi="宋体" w:eastAsia="宋体" w:cs="宋体"/>
          <w:b/>
          <w:bCs/>
          <w:sz w:val="40"/>
          <w:szCs w:val="40"/>
        </w:rPr>
      </w:pPr>
      <w:r>
        <w:rPr>
          <w:rFonts w:ascii="宋体" w:hAnsi="宋体" w:eastAsia="宋体" w:cs="宋体"/>
          <w:b/>
          <w:bCs/>
          <w:sz w:val="40"/>
          <w:szCs w:val="40"/>
        </w:rPr>
        <w:t>预算绩效管理工作负责人名册</w:t>
      </w:r>
    </w:p>
    <w:tbl>
      <w:tblPr>
        <w:tblStyle w:val="7"/>
        <w:tblW w:w="85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347"/>
        <w:gridCol w:w="1347"/>
        <w:gridCol w:w="1349"/>
        <w:gridCol w:w="1536"/>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Theme="minorEastAsia" w:hAnsiTheme="minorEastAsia" w:eastAsiaTheme="minorEastAsia" w:cstheme="minorEastAsia"/>
                <w:b/>
                <w:color w:val="000000"/>
                <w:kern w:val="0"/>
                <w:sz w:val="24"/>
              </w:rPr>
            </w:pPr>
            <w:r>
              <w:rPr>
                <w:rFonts w:asciiTheme="minorEastAsia" w:hAnsiTheme="minorEastAsia" w:eastAsiaTheme="minorEastAsia" w:cstheme="minorEastAsia"/>
                <w:b/>
                <w:color w:val="000000"/>
                <w:kern w:val="0"/>
                <w:sz w:val="24"/>
              </w:rPr>
              <w:t>姓名</w:t>
            </w:r>
          </w:p>
        </w:tc>
        <w:tc>
          <w:tcPr>
            <w:tcW w:w="134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Theme="minorEastAsia" w:hAnsiTheme="minorEastAsia" w:eastAsiaTheme="minorEastAsia" w:cstheme="minorEastAsia"/>
                <w:b/>
                <w:color w:val="000000"/>
                <w:kern w:val="0"/>
                <w:sz w:val="24"/>
              </w:rPr>
            </w:pPr>
            <w:r>
              <w:rPr>
                <w:rFonts w:asciiTheme="minorEastAsia" w:hAnsiTheme="minorEastAsia" w:eastAsiaTheme="minorEastAsia" w:cstheme="minorEastAsia"/>
                <w:b/>
                <w:color w:val="000000"/>
                <w:kern w:val="0"/>
                <w:sz w:val="24"/>
              </w:rPr>
              <w:t>职务</w:t>
            </w:r>
          </w:p>
        </w:tc>
        <w:tc>
          <w:tcPr>
            <w:tcW w:w="1349"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Theme="minorEastAsia" w:hAnsiTheme="minorEastAsia" w:eastAsiaTheme="minorEastAsia" w:cstheme="minorEastAsia"/>
                <w:b/>
                <w:color w:val="000000"/>
                <w:kern w:val="0"/>
                <w:sz w:val="24"/>
              </w:rPr>
            </w:pPr>
            <w:r>
              <w:rPr>
                <w:rFonts w:asciiTheme="minorEastAsia" w:hAnsiTheme="minorEastAsia" w:eastAsiaTheme="minorEastAsia" w:cstheme="minorEastAsia"/>
                <w:b/>
                <w:color w:val="000000"/>
                <w:kern w:val="0"/>
                <w:sz w:val="24"/>
              </w:rPr>
              <w:t>办公电话</w:t>
            </w:r>
          </w:p>
        </w:tc>
        <w:tc>
          <w:tcPr>
            <w:tcW w:w="153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Theme="minorEastAsia" w:hAnsiTheme="minorEastAsia" w:eastAsiaTheme="minorEastAsia" w:cstheme="minorEastAsia"/>
                <w:b/>
                <w:color w:val="000000"/>
                <w:kern w:val="0"/>
                <w:sz w:val="24"/>
              </w:rPr>
            </w:pPr>
            <w:r>
              <w:rPr>
                <w:rFonts w:asciiTheme="minorEastAsia" w:hAnsiTheme="minorEastAsia" w:eastAsiaTheme="minorEastAsia" w:cstheme="minorEastAsia"/>
                <w:b/>
                <w:color w:val="000000"/>
                <w:kern w:val="0"/>
                <w:sz w:val="24"/>
              </w:rPr>
              <w:t>移动通讯号码</w:t>
            </w:r>
          </w:p>
        </w:tc>
        <w:tc>
          <w:tcPr>
            <w:tcW w:w="16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分管领导</w:t>
            </w:r>
          </w:p>
        </w:tc>
        <w:tc>
          <w:tcPr>
            <w:tcW w:w="134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盘新民</w:t>
            </w:r>
          </w:p>
        </w:tc>
        <w:tc>
          <w:tcPr>
            <w:tcW w:w="134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副校长</w:t>
            </w:r>
          </w:p>
        </w:tc>
        <w:tc>
          <w:tcPr>
            <w:tcW w:w="134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5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13397629067</w:t>
            </w:r>
          </w:p>
        </w:tc>
        <w:tc>
          <w:tcPr>
            <w:tcW w:w="16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联络员</w:t>
            </w:r>
          </w:p>
        </w:tc>
        <w:tc>
          <w:tcPr>
            <w:tcW w:w="134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盘心明</w:t>
            </w:r>
          </w:p>
        </w:tc>
        <w:tc>
          <w:tcPr>
            <w:tcW w:w="134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总务主任</w:t>
            </w:r>
          </w:p>
        </w:tc>
        <w:tc>
          <w:tcPr>
            <w:tcW w:w="134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5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18974665198</w:t>
            </w:r>
          </w:p>
        </w:tc>
        <w:tc>
          <w:tcPr>
            <w:tcW w:w="16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5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5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5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5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5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5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5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5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5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Autospacing="1" w:afterAutospacing="1"/>
              <w:jc w:val="center"/>
              <w:rPr>
                <w:rFonts w:hint="default" w:asciiTheme="minorEastAsia" w:hAnsiTheme="minorEastAsia" w:eastAsiaTheme="minorEastAsia" w:cstheme="minorEastAsia"/>
                <w:color w:val="000000"/>
                <w:sz w:val="24"/>
              </w:rPr>
            </w:pPr>
          </w:p>
        </w:tc>
      </w:tr>
    </w:tbl>
    <w:p>
      <w:pPr>
        <w:pStyle w:val="2"/>
        <w:ind w:left="420" w:firstLine="440"/>
        <w:rPr>
          <w:rFonts w:hint="default" w:eastAsia="仿宋_GB2312"/>
          <w:sz w:val="22"/>
        </w:rPr>
      </w:pPr>
    </w:p>
    <w:sectPr>
      <w:footerReference r:id="rId3" w:type="default"/>
      <w:footerReference r:id="rId4" w:type="even"/>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宋体"/>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ind w:right="360" w:firstLine="360"/>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60hbt0BAAC+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mcOWHpwi8/vl9+/r78+saW&#10;yZ4+xIqq7gLV4fDaD6l0ykdKJtVDCzb9SQ+jfTL3fDVXDchkOrRerdclbUnamxeEU9wfDxDxrfKW&#10;paDmQLeXTRWn9xHH0rkkdXP+VhtDeVEZ91eCMFOmSNxHjinCYT9MxPe+OZMeegbUp/PwlbOehqDm&#10;jmaeM/POkcdpXuYA5mA/B8JJOlhz5GwM3+A4V8cA+tAR7jKTj+HVEYlpFpBojL0ndnSt2YJpBNPc&#10;PFznqvtn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tIW7dAQAAvgMAAA4AAAAAAAAA&#10;AQAgAAAAHgEAAGRycy9lMm9Eb2MueG1sUEsFBgAAAAAGAAYAWQEAAG0FAAAAAA==&#10;">
          <v:path/>
          <v:fill on="f" focussize="0,0"/>
          <v:stroke on="f" joinstyle="miter"/>
          <v:imagedata o:title=""/>
          <o:lock v:ext="edit"/>
          <v:textbox inset="0mm,0mm,0mm,0mm" style="mso-fit-shape-to-text:t;">
            <w:txbxContent>
              <w:p>
                <w:pPr>
                  <w:pStyle w:val="4"/>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9</w:t>
                </w:r>
                <w:r>
                  <w:rPr>
                    <w:rFonts w:ascii="宋体" w:hAnsi="宋体" w:cs="宋体"/>
                    <w:szCs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ind w:right="360" w:firstLine="360"/>
      <w:rPr>
        <w:rFonts w:hint="default"/>
      </w:rPr>
    </w:pPr>
    <w:r>
      <w:rPr>
        <w:rFonts w:hint="default"/>
      </w:rP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6YEa33gEAAL4DAAAOAAAAAAAA&#10;AAEAIAAAAB4BAABkcnMvZTJvRG9jLnhtbFBLBQYAAAAABgAGAFkBAABuBQAAAAA=&#10;">
          <v:path/>
          <v:fill on="f" focussize="0,0"/>
          <v:stroke on="f" joinstyle="miter"/>
          <v:imagedata o:title=""/>
          <o:lock v:ext="edit"/>
          <v:textbox inset="0mm,0mm,0mm,0mm" style="mso-fit-shape-to-text:t;">
            <w:txbxContent>
              <w:p>
                <w:pPr>
                  <w:pStyle w:val="4"/>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10</w:t>
                </w:r>
                <w:r>
                  <w:rPr>
                    <w:rFonts w:ascii="宋体" w:hAnsi="宋体" w:cs="宋体"/>
                    <w:szCs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CCB99B"/>
    <w:multiLevelType w:val="singleLevel"/>
    <w:tmpl w:val="91CCB99B"/>
    <w:lvl w:ilvl="0" w:tentative="0">
      <w:start w:val="1"/>
      <w:numFmt w:val="chineseCounting"/>
      <w:suff w:val="nothing"/>
      <w:lvlText w:val="（%1）"/>
      <w:lvlJc w:val="left"/>
      <w:rPr>
        <w:rFonts w:hint="eastAsia"/>
      </w:rPr>
    </w:lvl>
  </w:abstractNum>
  <w:abstractNum w:abstractNumId="1">
    <w:nsid w:val="DFFD4C14"/>
    <w:multiLevelType w:val="singleLevel"/>
    <w:tmpl w:val="DFFD4C14"/>
    <w:lvl w:ilvl="0" w:tentative="0">
      <w:start w:val="1"/>
      <w:numFmt w:val="chineseCounting"/>
      <w:suff w:val="nothing"/>
      <w:lvlText w:val="（%1）"/>
      <w:lvlJc w:val="left"/>
      <w:rPr>
        <w:rFonts w:hint="eastAsia"/>
      </w:rPr>
    </w:lvl>
  </w:abstractNum>
  <w:abstractNum w:abstractNumId="2">
    <w:nsid w:val="57EB91F6"/>
    <w:multiLevelType w:val="multilevel"/>
    <w:tmpl w:val="57EB91F6"/>
    <w:lvl w:ilvl="0" w:tentative="0">
      <w:start w:val="1"/>
      <w:numFmt w:val="chineseCounting"/>
      <w:suff w:val="nothing"/>
      <w:lvlText w:val="%1、"/>
      <w:lvlJc w:val="left"/>
      <w:pPr>
        <w:ind w:left="709" w:firstLine="0"/>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k3NTNmMzdjNGIxNTU3N2ZkNDU5YjRiY2QyMjAwMTcifQ=="/>
  </w:docVars>
  <w:rsids>
    <w:rsidRoot w:val="00172A27"/>
    <w:rsid w:val="00172A27"/>
    <w:rsid w:val="004002F4"/>
    <w:rsid w:val="00516BC2"/>
    <w:rsid w:val="00532BA9"/>
    <w:rsid w:val="00596255"/>
    <w:rsid w:val="0093120C"/>
    <w:rsid w:val="00C06E76"/>
    <w:rsid w:val="00C70D84"/>
    <w:rsid w:val="00F43CCC"/>
    <w:rsid w:val="00FF02FA"/>
    <w:rsid w:val="03266DB4"/>
    <w:rsid w:val="037D78FD"/>
    <w:rsid w:val="03CF27DA"/>
    <w:rsid w:val="04630165"/>
    <w:rsid w:val="04A919F3"/>
    <w:rsid w:val="066447D9"/>
    <w:rsid w:val="06A42E73"/>
    <w:rsid w:val="07C75183"/>
    <w:rsid w:val="07F34AC0"/>
    <w:rsid w:val="0926412B"/>
    <w:rsid w:val="0C3519D1"/>
    <w:rsid w:val="0C3E32CE"/>
    <w:rsid w:val="0CCE5073"/>
    <w:rsid w:val="0CE70D9D"/>
    <w:rsid w:val="0D117DB0"/>
    <w:rsid w:val="0DC64C17"/>
    <w:rsid w:val="101F3C57"/>
    <w:rsid w:val="105E064F"/>
    <w:rsid w:val="106C2D6C"/>
    <w:rsid w:val="13315BA7"/>
    <w:rsid w:val="154B3473"/>
    <w:rsid w:val="157F6759"/>
    <w:rsid w:val="15B02F86"/>
    <w:rsid w:val="18933AB7"/>
    <w:rsid w:val="18B211FF"/>
    <w:rsid w:val="1A2B78B5"/>
    <w:rsid w:val="1AE87493"/>
    <w:rsid w:val="1BCE59A7"/>
    <w:rsid w:val="1C5C2F33"/>
    <w:rsid w:val="1D5E5630"/>
    <w:rsid w:val="1EC60F59"/>
    <w:rsid w:val="1F540450"/>
    <w:rsid w:val="1F9C1D8C"/>
    <w:rsid w:val="20BA3D5C"/>
    <w:rsid w:val="20FE29CD"/>
    <w:rsid w:val="213827F6"/>
    <w:rsid w:val="22287EE3"/>
    <w:rsid w:val="22971A61"/>
    <w:rsid w:val="22EC76FD"/>
    <w:rsid w:val="24756501"/>
    <w:rsid w:val="267E15FF"/>
    <w:rsid w:val="274E3717"/>
    <w:rsid w:val="27CB04BB"/>
    <w:rsid w:val="27CE7A10"/>
    <w:rsid w:val="282D4CCD"/>
    <w:rsid w:val="29206D55"/>
    <w:rsid w:val="29E96008"/>
    <w:rsid w:val="2A4B359A"/>
    <w:rsid w:val="2AF82401"/>
    <w:rsid w:val="2B8E6BAF"/>
    <w:rsid w:val="2C435412"/>
    <w:rsid w:val="2C9A2B94"/>
    <w:rsid w:val="2D3C71CA"/>
    <w:rsid w:val="2DB66E8B"/>
    <w:rsid w:val="2EC340FA"/>
    <w:rsid w:val="2F083700"/>
    <w:rsid w:val="2FB2555B"/>
    <w:rsid w:val="300C6366"/>
    <w:rsid w:val="31126BC0"/>
    <w:rsid w:val="3186310A"/>
    <w:rsid w:val="318A49E7"/>
    <w:rsid w:val="31EF3498"/>
    <w:rsid w:val="33457B5A"/>
    <w:rsid w:val="33C078EF"/>
    <w:rsid w:val="33EA0D37"/>
    <w:rsid w:val="347C23F8"/>
    <w:rsid w:val="35FB23C4"/>
    <w:rsid w:val="3AD711BF"/>
    <w:rsid w:val="3CBE6046"/>
    <w:rsid w:val="3CD21F67"/>
    <w:rsid w:val="3CFC2116"/>
    <w:rsid w:val="3DF24BCA"/>
    <w:rsid w:val="3DFB432B"/>
    <w:rsid w:val="3ECE3ECC"/>
    <w:rsid w:val="3EED578E"/>
    <w:rsid w:val="3F8D508F"/>
    <w:rsid w:val="41A60F90"/>
    <w:rsid w:val="423D1205"/>
    <w:rsid w:val="429107C7"/>
    <w:rsid w:val="43266633"/>
    <w:rsid w:val="437042B4"/>
    <w:rsid w:val="43D25C86"/>
    <w:rsid w:val="44B72294"/>
    <w:rsid w:val="454E3C0B"/>
    <w:rsid w:val="4586002F"/>
    <w:rsid w:val="45E06994"/>
    <w:rsid w:val="461E495F"/>
    <w:rsid w:val="46AC6D17"/>
    <w:rsid w:val="47055FAF"/>
    <w:rsid w:val="47456587"/>
    <w:rsid w:val="47FF7E2A"/>
    <w:rsid w:val="48091337"/>
    <w:rsid w:val="48221986"/>
    <w:rsid w:val="490C50F1"/>
    <w:rsid w:val="4A7E5437"/>
    <w:rsid w:val="4B490F32"/>
    <w:rsid w:val="4B564457"/>
    <w:rsid w:val="4BA95ECC"/>
    <w:rsid w:val="4BC85461"/>
    <w:rsid w:val="4C575977"/>
    <w:rsid w:val="4DF30F3A"/>
    <w:rsid w:val="4E6B2125"/>
    <w:rsid w:val="4E8B7C40"/>
    <w:rsid w:val="4F1637A4"/>
    <w:rsid w:val="4F635397"/>
    <w:rsid w:val="4F8419BD"/>
    <w:rsid w:val="4F897CB5"/>
    <w:rsid w:val="500F1BD2"/>
    <w:rsid w:val="51C40746"/>
    <w:rsid w:val="525220AD"/>
    <w:rsid w:val="543E6CC0"/>
    <w:rsid w:val="54F10143"/>
    <w:rsid w:val="55162386"/>
    <w:rsid w:val="55412274"/>
    <w:rsid w:val="55A16DFF"/>
    <w:rsid w:val="55C03679"/>
    <w:rsid w:val="56C37001"/>
    <w:rsid w:val="57C446E9"/>
    <w:rsid w:val="57CF10A9"/>
    <w:rsid w:val="58820FB8"/>
    <w:rsid w:val="59A81801"/>
    <w:rsid w:val="5ABA52A9"/>
    <w:rsid w:val="5B1842BF"/>
    <w:rsid w:val="5B532FBD"/>
    <w:rsid w:val="5B7D5BA3"/>
    <w:rsid w:val="5C0A3A62"/>
    <w:rsid w:val="5C8E01AF"/>
    <w:rsid w:val="5E1A7750"/>
    <w:rsid w:val="607E53E1"/>
    <w:rsid w:val="60C55C36"/>
    <w:rsid w:val="610B6A4E"/>
    <w:rsid w:val="62BE6D8B"/>
    <w:rsid w:val="62EF22C5"/>
    <w:rsid w:val="637844CF"/>
    <w:rsid w:val="64E742EF"/>
    <w:rsid w:val="65E52AA5"/>
    <w:rsid w:val="66A575B3"/>
    <w:rsid w:val="678C32CE"/>
    <w:rsid w:val="67FC3D0D"/>
    <w:rsid w:val="684B0AD7"/>
    <w:rsid w:val="69CA2B35"/>
    <w:rsid w:val="6A721F6A"/>
    <w:rsid w:val="6A7E1356"/>
    <w:rsid w:val="6B87197D"/>
    <w:rsid w:val="6D2A1711"/>
    <w:rsid w:val="6DC2450B"/>
    <w:rsid w:val="6EC70FBE"/>
    <w:rsid w:val="71BE3EE9"/>
    <w:rsid w:val="72077373"/>
    <w:rsid w:val="72C950C0"/>
    <w:rsid w:val="73CD68AD"/>
    <w:rsid w:val="743D259B"/>
    <w:rsid w:val="75073918"/>
    <w:rsid w:val="752E4C17"/>
    <w:rsid w:val="76050C77"/>
    <w:rsid w:val="771A18F7"/>
    <w:rsid w:val="77810733"/>
    <w:rsid w:val="7AEC7106"/>
    <w:rsid w:val="7BB37C24"/>
    <w:rsid w:val="7D0A7100"/>
    <w:rsid w:val="7D630633"/>
    <w:rsid w:val="7DB87774"/>
    <w:rsid w:val="7E991F23"/>
    <w:rsid w:val="7EB5519D"/>
    <w:rsid w:val="7F065270"/>
    <w:rsid w:val="7F287D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hint="eastAsia" w:ascii="Times New Roman" w:hAnsi="Times New Roman" w:eastAsia="Times New Roman"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0"/>
    <w:pPr>
      <w:framePr w:wrap="around" w:vAnchor="text" w:hAnchor="margin" w:xAlign="outside" w:y="1"/>
      <w:tabs>
        <w:tab w:val="center" w:pos="4153"/>
        <w:tab w:val="right" w:pos="8306"/>
      </w:tabs>
      <w:snapToGrid w:val="0"/>
      <w:jc w:val="left"/>
    </w:pPr>
    <w:rPr>
      <w:kern w:val="0"/>
      <w:sz w:val="2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Autospacing="1" w:afterAutospacing="1"/>
      <w:jc w:val="left"/>
    </w:pPr>
    <w:rPr>
      <w:rFonts w:hint="default" w:ascii="Calibri" w:hAnsi="Calibri" w:eastAsia="宋体"/>
      <w:kern w:val="0"/>
      <w:sz w:val="24"/>
    </w:rPr>
  </w:style>
  <w:style w:type="paragraph" w:customStyle="1" w:styleId="9">
    <w:name w:val="列出段落1"/>
    <w:basedOn w:val="1"/>
    <w:unhideWhenUsed/>
    <w:qFormat/>
    <w:uiPriority w:val="34"/>
    <w:pPr>
      <w:ind w:firstLine="420" w:firstLineChars="200"/>
    </w:pPr>
    <w:rPr>
      <w:rFonts w:ascii="仿宋" w:hAnsi="仿宋" w:eastAsia="仿宋"/>
      <w:kern w:val="0"/>
      <w:sz w:val="28"/>
    </w:rPr>
  </w:style>
  <w:style w:type="paragraph" w:styleId="10">
    <w:name w:val="List Paragraph"/>
    <w:basedOn w:val="1"/>
    <w:unhideWhenUsed/>
    <w:qFormat/>
    <w:uiPriority w:val="99"/>
    <w:pPr>
      <w:ind w:firstLine="420" w:firstLineChars="200"/>
    </w:pPr>
    <w:rPr>
      <w:rFonts w:hint="default" w:ascii="Calibri" w:hAnsi="Calibri"/>
      <w:kern w:val="0"/>
      <w:sz w:val="28"/>
    </w:rPr>
  </w:style>
  <w:style w:type="paragraph" w:customStyle="1" w:styleId="11">
    <w:name w:val="BodyText1I"/>
    <w:basedOn w:val="1"/>
    <w:qFormat/>
    <w:uiPriority w:val="99"/>
    <w:pPr>
      <w:snapToGrid w:val="0"/>
      <w:spacing w:line="360" w:lineRule="auto"/>
      <w:ind w:firstLine="420" w:firstLineChars="100"/>
    </w:pPr>
    <w:rPr>
      <w:sz w:val="28"/>
      <w:szCs w:val="20"/>
    </w:rPr>
  </w:style>
  <w:style w:type="character" w:customStyle="1" w:styleId="12">
    <w:name w:val="页眉 Char"/>
    <w:basedOn w:val="8"/>
    <w:link w:val="5"/>
    <w:uiPriority w:val="0"/>
    <w:rPr>
      <w:rFonts w:eastAsia="Times New Roman"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3406</Words>
  <Characters>826</Characters>
  <Lines>6</Lines>
  <Paragraphs>8</Paragraphs>
  <TotalTime>37</TotalTime>
  <ScaleCrop>false</ScaleCrop>
  <LinksUpToDate>false</LinksUpToDate>
  <CharactersWithSpaces>4224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2023-04-22T07:33:00Z</dcterms:created>
  <dc:creator>海之韵</dc:creator>
  <cp:lastModifiedBy>Administrator</cp:lastModifiedBy>
  <cp:lastPrinted>2024-04-16T02:23:00Z</cp:lastPrinted>
  <dcterms:modified xsi:type="dcterms:W3CDTF">2024-12-09T11:54:32Z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C05C0A58C1B94E6DA3F69BCC80938D65_11</vt:lpwstr>
  </property>
</Properties>
</file>