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lang w:val="en-US" w:eastAsia="zh-CN"/>
        </w:rPr>
      </w:pPr>
      <w:bookmarkStart w:id="0" w:name="_GoBack"/>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打鼓坪乡中心幼儿园</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lang w:val="en-US" w:eastAsia="zh-CN"/>
        </w:rPr>
        <w:t>部门</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bookmarkEnd w:id="0"/>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ascii="仿宋" w:hAnsi="仿宋" w:eastAsia="仿宋" w:cs="仿宋"/>
          <w:sz w:val="31"/>
          <w:szCs w:val="31"/>
          <w:u w:val="single" w:color="auto"/>
          <w:lang w:val="en-US" w:eastAsia="zh-CN"/>
        </w:rPr>
        <w:t>双牌县打鼓坪乡中心幼儿园</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5</w:t>
      </w:r>
      <w:r>
        <w:rPr>
          <w:rFonts w:hint="eastAsia" w:eastAsia="楷体_GB2312"/>
          <w:sz w:val="32"/>
          <w:szCs w:val="24"/>
        </w:rPr>
        <w:t xml:space="preserve"> 月  </w:t>
      </w:r>
      <w:r>
        <w:rPr>
          <w:rFonts w:hint="eastAsia" w:eastAsia="楷体_GB2312"/>
          <w:sz w:val="32"/>
          <w:szCs w:val="24"/>
          <w:lang w:val="en-US" w:eastAsia="zh-CN"/>
        </w:rPr>
        <w:t>22</w:t>
      </w:r>
      <w:r>
        <w:rPr>
          <w:rFonts w:hint="eastAsia" w:eastAsia="楷体_GB2312"/>
          <w:sz w:val="32"/>
          <w:szCs w:val="24"/>
        </w:rPr>
        <w:t>日</w:t>
      </w:r>
    </w:p>
    <w:p>
      <w:pPr>
        <w:spacing w:beforeLines="0" w:afterLines="0"/>
        <w:jc w:val="center"/>
        <w:rPr>
          <w:rFonts w:hint="default" w:eastAsia="黑体"/>
          <w:sz w:val="32"/>
          <w:szCs w:val="24"/>
        </w:rPr>
      </w:pP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pPr>
        <w:spacing w:line="600" w:lineRule="exact"/>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（1）全面贯彻党的教育方针，推行素质教育，加强师德师风建设，切实完成学前教育教学任务。</w:t>
      </w:r>
    </w:p>
    <w:p>
      <w:pPr>
        <w:spacing w:line="600" w:lineRule="exact"/>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（2）努力完善幼儿园硬软件设施，巩固提高“两基”工作成果和整体水平，配合各级人民政府办好家长和社会认可的市示范性幼儿园。 </w:t>
      </w:r>
    </w:p>
    <w:p>
      <w:pPr>
        <w:spacing w:line="600" w:lineRule="exact"/>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（3）组织开展本园的教育教学科研和教育教学改革，科研兴教，科研兴园。负责对本园教育教学业务的具体管理，负责教育教学管理及教研教改工作，全力推进素质教育实施。</w:t>
      </w:r>
    </w:p>
    <w:p>
      <w:pPr>
        <w:spacing w:line="600" w:lineRule="exact"/>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（4）按照干部和教师的职数、编制和管理权限，负责本园教师人事管理、继续教育、考核考评等工作。 </w:t>
      </w:r>
    </w:p>
    <w:p>
      <w:pPr>
        <w:spacing w:line="600" w:lineRule="exact"/>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（5）负责本园财务和基建管理，筹措资金，改善办学条件等工作。</w:t>
      </w:r>
    </w:p>
    <w:p>
      <w:pPr>
        <w:spacing w:line="600" w:lineRule="exact"/>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2.基本概况</w:t>
      </w:r>
    </w:p>
    <w:p>
      <w:pPr>
        <w:spacing w:line="600" w:lineRule="exact"/>
        <w:ind w:left="0" w:leftChars="0" w:firstLine="560" w:firstLineChars="200"/>
        <w:rPr>
          <w:rFonts w:hint="eastAsia" w:ascii="宋体" w:hAnsi="宋体" w:eastAsia="宋体" w:cs="宋体"/>
          <w:spacing w:val="27"/>
          <w:sz w:val="28"/>
          <w:szCs w:val="28"/>
        </w:rPr>
      </w:pPr>
      <w:r>
        <w:rPr>
          <w:rFonts w:hint="eastAsia" w:ascii="宋体" w:hAnsi="宋体" w:eastAsia="宋体" w:cs="宋体"/>
          <w:sz w:val="28"/>
          <w:szCs w:val="28"/>
        </w:rPr>
        <w:t>我</w:t>
      </w:r>
      <w:r>
        <w:rPr>
          <w:rFonts w:hint="eastAsia" w:ascii="宋体" w:hAnsi="宋体" w:eastAsia="宋体" w:cs="宋体"/>
          <w:sz w:val="28"/>
          <w:szCs w:val="28"/>
          <w:lang w:eastAsia="zh-CN"/>
        </w:rPr>
        <w:t>园属于财政全额拨款事业单位，核定编制人数为</w:t>
      </w:r>
      <w:r>
        <w:rPr>
          <w:rFonts w:hint="eastAsia" w:ascii="宋体" w:hAnsi="宋体" w:eastAsia="宋体" w:cs="宋体"/>
          <w:sz w:val="28"/>
          <w:szCs w:val="28"/>
          <w:lang w:val="en-US" w:eastAsia="zh-CN"/>
        </w:rPr>
        <w:t>5人，其中在职在编人员2人，编外教师2人，无退休人员。校园建筑面积3500平方米，办公设备有：计算机4台、打印机2台。</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widowControl/>
        <w:spacing w:line="600" w:lineRule="atLeast"/>
        <w:ind w:firstLine="600"/>
        <w:jc w:val="left"/>
        <w:rPr>
          <w:rFonts w:hint="eastAsia"/>
        </w:rPr>
      </w:pPr>
      <w:r>
        <w:rPr>
          <w:rFonts w:hint="eastAsia" w:ascii="宋体" w:hAnsi="宋体" w:eastAsia="宋体" w:cs="宋体"/>
          <w:color w:val="000000"/>
          <w:kern w:val="0"/>
          <w:sz w:val="28"/>
          <w:szCs w:val="28"/>
        </w:rPr>
        <w:t>根据预算绩效管理要求，我单位组织对202</w:t>
      </w: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年度部门整体支出和专项资金实施了全覆盖性的绩效评价，撰写了整体支出绩效评价报告和项目支出绩效评价报告。</w:t>
      </w:r>
      <w:r>
        <w:rPr>
          <w:rFonts w:hint="eastAsia" w:ascii="宋体" w:hAnsi="宋体" w:eastAsia="宋体" w:cs="宋体"/>
          <w:color w:val="000000"/>
          <w:kern w:val="0"/>
          <w:sz w:val="28"/>
          <w:szCs w:val="28"/>
          <w:lang w:val="en-US" w:eastAsia="zh-CN"/>
        </w:rPr>
        <w:t>一</w:t>
      </w:r>
      <w:r>
        <w:rPr>
          <w:rFonts w:hint="eastAsia" w:ascii="宋体" w:hAnsi="宋体" w:eastAsia="宋体" w:cs="宋体"/>
          <w:color w:val="000000"/>
          <w:kern w:val="0"/>
          <w:sz w:val="28"/>
          <w:szCs w:val="28"/>
        </w:rPr>
        <w:t>般公共预算财政拨款收入</w:t>
      </w:r>
      <w:r>
        <w:rPr>
          <w:rFonts w:hint="eastAsia" w:ascii="宋体" w:hAnsi="宋体" w:eastAsia="宋体" w:cs="宋体"/>
          <w:color w:val="000000"/>
          <w:kern w:val="0"/>
          <w:sz w:val="28"/>
          <w:szCs w:val="28"/>
          <w:lang w:val="en-US" w:eastAsia="zh-CN"/>
        </w:rPr>
        <w:t>预</w:t>
      </w:r>
      <w:r>
        <w:rPr>
          <w:rFonts w:hint="eastAsia" w:ascii="宋体" w:hAnsi="宋体" w:eastAsia="宋体" w:cs="宋体"/>
          <w:color w:val="000000"/>
          <w:kern w:val="0"/>
          <w:sz w:val="28"/>
          <w:szCs w:val="28"/>
        </w:rPr>
        <w:t>算数</w:t>
      </w:r>
      <w:r>
        <w:rPr>
          <w:rFonts w:hint="eastAsia" w:ascii="宋体" w:hAnsi="宋体" w:eastAsia="宋体" w:cs="宋体"/>
          <w:color w:val="000000"/>
          <w:kern w:val="0"/>
          <w:sz w:val="28"/>
          <w:szCs w:val="28"/>
          <w:lang w:val="en-US" w:eastAsia="zh-CN"/>
        </w:rPr>
        <w:t>87.89</w:t>
      </w:r>
      <w:r>
        <w:rPr>
          <w:rFonts w:hint="eastAsia" w:ascii="宋体" w:hAnsi="宋体" w:eastAsia="宋体" w:cs="宋体"/>
          <w:color w:val="000000"/>
          <w:kern w:val="0"/>
          <w:sz w:val="28"/>
          <w:szCs w:val="28"/>
        </w:rPr>
        <w:t>万元，涉及一般公共预算当年财政项目拨款</w:t>
      </w:r>
      <w:r>
        <w:rPr>
          <w:rFonts w:hint="eastAsia" w:ascii="宋体" w:hAnsi="宋体" w:eastAsia="宋体" w:cs="宋体"/>
          <w:color w:val="000000"/>
          <w:kern w:val="0"/>
          <w:sz w:val="28"/>
          <w:szCs w:val="28"/>
          <w:lang w:val="en-US" w:eastAsia="zh-CN"/>
        </w:rPr>
        <w:t>21.5</w:t>
      </w:r>
      <w:r>
        <w:rPr>
          <w:rFonts w:hint="eastAsia" w:ascii="宋体" w:hAnsi="宋体" w:eastAsia="宋体" w:cs="宋体"/>
          <w:color w:val="000000"/>
          <w:kern w:val="0"/>
          <w:sz w:val="28"/>
          <w:szCs w:val="28"/>
        </w:rPr>
        <w:t>万元，自评覆盖率达到</w:t>
      </w:r>
      <w:r>
        <w:rPr>
          <w:rFonts w:hint="eastAsia" w:ascii="宋体" w:hAnsi="宋体" w:eastAsia="宋体" w:cs="宋体"/>
          <w:color w:val="000000"/>
          <w:kern w:val="0"/>
          <w:sz w:val="28"/>
          <w:szCs w:val="28"/>
          <w:lang w:val="en-US" w:eastAsia="zh-CN"/>
        </w:rPr>
        <w:t>100</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三公经费本年预算数0.6万元，支出0.1万元，未超出本年预算数。</w:t>
      </w:r>
      <w:r>
        <w:rPr>
          <w:rFonts w:hint="eastAsia" w:ascii="宋体" w:hAnsi="宋体" w:eastAsia="宋体" w:cs="宋体"/>
          <w:color w:val="000000"/>
          <w:kern w:val="0"/>
          <w:sz w:val="28"/>
          <w:szCs w:val="28"/>
        </w:rPr>
        <w:t>绩效自评结果显示，上述项目支出绩效情况较为理想，均达到了项目申请时设定的各项绩效目标。</w:t>
      </w:r>
    </w:p>
    <w:p>
      <w:pPr>
        <w:pStyle w:val="6"/>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6"/>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keepNext w:val="0"/>
        <w:keepLines w:val="0"/>
        <w:widowControl/>
        <w:suppressLineNumbers w:val="0"/>
        <w:spacing w:before="0" w:beforeAutospacing="0" w:after="1" w:afterAutospacing="0"/>
        <w:ind w:left="0" w:right="0" w:firstLine="66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2023年本部门基本支出预算64.39万元，主要是为保障部门正常运转、完成日常工作任务而发生的各项支出，包括用于基本工资、津贴补贴等人员经费以及办公费、印刷费、水电费、办公设备购置等公用经费。</w:t>
      </w:r>
      <w:r>
        <w:rPr>
          <w:rFonts w:hint="default" w:ascii="仿宋_GB2312" w:hAnsi="等线" w:eastAsia="仿宋_GB2312" w:cs="仿宋_GB2312"/>
          <w:i w:val="0"/>
          <w:iCs w:val="0"/>
          <w:caps w:val="0"/>
          <w:color w:val="000000"/>
          <w:spacing w:val="0"/>
          <w:kern w:val="0"/>
          <w:sz w:val="21"/>
          <w:szCs w:val="21"/>
          <w:lang w:val="en-US" w:eastAsia="zh-CN" w:bidi="ar"/>
        </w:rPr>
        <w:t> </w:t>
      </w:r>
    </w:p>
    <w:p>
      <w:pPr>
        <w:pStyle w:val="6"/>
        <w:spacing w:beforeLines="0" w:afterLines="0" w:line="570" w:lineRule="exact"/>
        <w:ind w:firstLine="640"/>
        <w:outlineLvl w:val="1"/>
        <w:rPr>
          <w:rFonts w:hint="default" w:ascii="Times New Roman" w:hAnsi="Times New Roman" w:eastAsia="仿宋_GB2312"/>
          <w:sz w:val="32"/>
          <w:szCs w:val="24"/>
        </w:rPr>
      </w:pPr>
    </w:p>
    <w:p>
      <w:pPr>
        <w:keepNext w:val="0"/>
        <w:keepLines w:val="0"/>
        <w:widowControl/>
        <w:numPr>
          <w:ilvl w:val="0"/>
          <w:numId w:val="2"/>
        </w:numPr>
        <w:suppressLineNumbers w:val="0"/>
        <w:spacing w:before="0" w:beforeAutospacing="0" w:after="1" w:afterAutospacing="0"/>
        <w:ind w:left="0" w:leftChars="0" w:right="0" w:firstLine="640" w:firstLineChars="200"/>
        <w:jc w:val="both"/>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keepNext w:val="0"/>
        <w:keepLines w:val="0"/>
        <w:widowControl/>
        <w:numPr>
          <w:ilvl w:val="0"/>
          <w:numId w:val="0"/>
        </w:numPr>
        <w:suppressLineNumbers w:val="0"/>
        <w:spacing w:before="0" w:beforeAutospacing="0" w:after="1" w:afterAutospacing="0"/>
        <w:ind w:leftChars="200" w:right="0" w:rightChars="0" w:firstLine="640" w:firstLineChars="200"/>
        <w:jc w:val="both"/>
        <w:rPr>
          <w:rFonts w:hint="eastAsia" w:ascii="等线" w:hAnsi="等线" w:eastAsia="等线" w:cs="等线"/>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2023年本部门项目支出预算数21.5万元，主要是部门为完成特定行政工作任务或事业发展目标而发生的支出，包括有关事业发展专项、专项业务费、基本建设支出等，其中：学前教育21.5万元，主要用于幼儿园活动开展、各项培训等方面。</w:t>
      </w:r>
      <w:r>
        <w:rPr>
          <w:rFonts w:hint="default" w:ascii="仿宋_GB2312" w:hAnsi="等线" w:eastAsia="仿宋_GB2312" w:cs="仿宋_GB2312"/>
          <w:i w:val="0"/>
          <w:iCs w:val="0"/>
          <w:caps w:val="0"/>
          <w:color w:val="000000"/>
          <w:spacing w:val="0"/>
          <w:kern w:val="0"/>
          <w:sz w:val="21"/>
          <w:szCs w:val="21"/>
          <w:lang w:val="en-US" w:eastAsia="zh-CN" w:bidi="ar"/>
        </w:rPr>
        <w:t> </w:t>
      </w:r>
    </w:p>
    <w:p>
      <w:pPr>
        <w:pStyle w:val="6"/>
        <w:numPr>
          <w:ilvl w:val="0"/>
          <w:numId w:val="0"/>
        </w:numPr>
        <w:spacing w:beforeLines="0" w:afterLines="0" w:line="570" w:lineRule="exact"/>
        <w:ind w:leftChars="200"/>
        <w:outlineLvl w:val="1"/>
        <w:rPr>
          <w:rFonts w:hint="eastAsia" w:ascii="Times New Roman" w:hAnsi="Times New Roman" w:eastAsia="仿宋_GB2312"/>
          <w:sz w:val="32"/>
          <w:szCs w:val="24"/>
        </w:rPr>
      </w:pPr>
    </w:p>
    <w:p>
      <w:pPr>
        <w:pStyle w:val="6"/>
        <w:numPr>
          <w:ilvl w:val="0"/>
          <w:numId w:val="0"/>
        </w:numPr>
        <w:spacing w:beforeLines="0" w:afterLines="0" w:line="570" w:lineRule="exact"/>
        <w:ind w:leftChars="200"/>
        <w:outlineLvl w:val="1"/>
        <w:rPr>
          <w:rFonts w:hint="default" w:ascii="Times New Roman" w:hAnsi="Times New Roman" w:eastAsia="仿宋_GB2312"/>
          <w:sz w:val="32"/>
          <w:szCs w:val="24"/>
        </w:rPr>
      </w:pPr>
    </w:p>
    <w:p>
      <w:pPr>
        <w:spacing w:before="179" w:line="564" w:lineRule="exact"/>
        <w:ind w:left="624"/>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spacing w:before="179" w:line="564" w:lineRule="exact"/>
        <w:ind w:left="62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1"/>
          <w:sz w:val="28"/>
          <w:szCs w:val="28"/>
          <w:lang w:val="en-US" w:eastAsia="zh-CN"/>
        </w:rPr>
        <w:t>我单位无</w:t>
      </w:r>
      <w:r>
        <w:rPr>
          <w:rFonts w:hint="eastAsia" w:asciiTheme="minorEastAsia" w:hAnsiTheme="minorEastAsia" w:eastAsiaTheme="minorEastAsia" w:cstheme="minorEastAsia"/>
          <w:spacing w:val="11"/>
          <w:sz w:val="28"/>
          <w:szCs w:val="28"/>
        </w:rPr>
        <w:t>政府性基金预算支出情况</w:t>
      </w:r>
      <w:r>
        <w:rPr>
          <w:rFonts w:hint="eastAsia" w:asciiTheme="minorEastAsia" w:hAnsiTheme="minorEastAsia" w:eastAsiaTheme="minorEastAsia" w:cstheme="minorEastAsia"/>
          <w:spacing w:val="11"/>
          <w:sz w:val="28"/>
          <w:szCs w:val="28"/>
          <w:lang w:eastAsia="zh-CN"/>
        </w:rPr>
        <w:t>。</w:t>
      </w:r>
    </w:p>
    <w:p>
      <w:pPr>
        <w:pStyle w:val="6"/>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6"/>
        <w:numPr>
          <w:ilvl w:val="0"/>
          <w:numId w:val="0"/>
        </w:numPr>
        <w:spacing w:beforeLines="0" w:afterLines="0" w:line="570" w:lineRule="exact"/>
        <w:ind w:firstLine="640" w:firstLineChars="2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6"/>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6"/>
        <w:numPr>
          <w:ilvl w:val="0"/>
          <w:numId w:val="0"/>
        </w:numPr>
        <w:spacing w:beforeLines="0" w:afterLines="0" w:line="570" w:lineRule="exact"/>
        <w:ind w:leftChars="200" w:firstLine="320" w:firstLineChars="10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before="189" w:line="564" w:lineRule="exact"/>
        <w:ind w:left="624" w:firstLine="604" w:firstLineChars="200"/>
        <w:rPr>
          <w:rFonts w:hint="eastAsia" w:asciiTheme="minorEastAsia" w:hAnsiTheme="minorEastAsia" w:eastAsiaTheme="minorEastAsia" w:cstheme="minorEastAsia"/>
          <w:spacing w:val="11"/>
          <w:sz w:val="28"/>
          <w:szCs w:val="28"/>
          <w:lang w:val="en-US" w:eastAsia="zh-CN"/>
        </w:rPr>
      </w:pPr>
      <w:r>
        <w:rPr>
          <w:rFonts w:hint="eastAsia" w:asciiTheme="minorEastAsia" w:hAnsiTheme="minorEastAsia" w:eastAsiaTheme="minorEastAsia" w:cstheme="minorEastAsia"/>
          <w:spacing w:val="11"/>
          <w:sz w:val="28"/>
          <w:szCs w:val="28"/>
          <w:lang w:val="en-US" w:eastAsia="zh-CN"/>
        </w:rPr>
        <w:t>2023年，根据教育局年初工作规划和重点性工作具体要求，较好的完成了年度工作目标。通过加强预算收支管理，不断建立健全内部管理制度，梳理内部管理流程，部门整体支出管理情况得到提升。根据2023年度部门整体支出状况的概述和分析，部门整体支出绩效情况如下：</w:t>
      </w:r>
    </w:p>
    <w:p>
      <w:pPr>
        <w:spacing w:before="189" w:line="564" w:lineRule="exact"/>
        <w:ind w:left="624"/>
        <w:rPr>
          <w:rFonts w:hint="eastAsia" w:asciiTheme="minorEastAsia" w:hAnsiTheme="minorEastAsia" w:eastAsiaTheme="minorEastAsia" w:cstheme="minorEastAsia"/>
          <w:spacing w:val="11"/>
          <w:sz w:val="28"/>
          <w:szCs w:val="28"/>
          <w:lang w:val="en-US" w:eastAsia="zh-CN"/>
        </w:rPr>
      </w:pPr>
      <w:r>
        <w:rPr>
          <w:rFonts w:hint="eastAsia" w:asciiTheme="minorEastAsia" w:hAnsiTheme="minorEastAsia" w:eastAsiaTheme="minorEastAsia" w:cstheme="minorEastAsia"/>
          <w:spacing w:val="11"/>
          <w:sz w:val="28"/>
          <w:szCs w:val="28"/>
          <w:lang w:val="en-US" w:eastAsia="zh-CN"/>
        </w:rPr>
        <w:t>（一）经济效益评价</w:t>
      </w:r>
    </w:p>
    <w:p>
      <w:pPr>
        <w:spacing w:before="189" w:line="564" w:lineRule="exact"/>
        <w:ind w:left="624" w:firstLine="604" w:firstLineChars="200"/>
        <w:rPr>
          <w:rFonts w:hint="eastAsia" w:asciiTheme="minorEastAsia" w:hAnsiTheme="minorEastAsia" w:eastAsiaTheme="minorEastAsia" w:cstheme="minorEastAsia"/>
          <w:spacing w:val="11"/>
          <w:sz w:val="28"/>
          <w:szCs w:val="28"/>
          <w:lang w:val="en-US" w:eastAsia="zh-CN"/>
        </w:rPr>
      </w:pPr>
      <w:r>
        <w:rPr>
          <w:rFonts w:hint="eastAsia" w:asciiTheme="minorEastAsia" w:hAnsiTheme="minorEastAsia" w:eastAsiaTheme="minorEastAsia" w:cstheme="minorEastAsia"/>
          <w:spacing w:val="11"/>
          <w:sz w:val="28"/>
          <w:szCs w:val="28"/>
          <w:lang w:val="en-US" w:eastAsia="zh-CN"/>
        </w:rPr>
        <w:t>1. 本年预算配置控制较好。财政供养人员控制在预算编制以内，编制内在职人员控制率为100%；“三公”经费预算总额较上年有所下降 ，主要原因是响应政策要求，压缩公务接待开支。</w:t>
      </w:r>
    </w:p>
    <w:p>
      <w:pPr>
        <w:spacing w:before="189" w:line="564" w:lineRule="exact"/>
        <w:ind w:left="624" w:firstLine="604" w:firstLineChars="200"/>
        <w:rPr>
          <w:rFonts w:hint="eastAsia" w:asciiTheme="minorEastAsia" w:hAnsiTheme="minorEastAsia" w:eastAsiaTheme="minorEastAsia" w:cstheme="minorEastAsia"/>
          <w:spacing w:val="11"/>
          <w:sz w:val="28"/>
          <w:szCs w:val="28"/>
          <w:lang w:val="en-US" w:eastAsia="zh-CN"/>
        </w:rPr>
      </w:pPr>
      <w:r>
        <w:rPr>
          <w:rFonts w:hint="eastAsia" w:asciiTheme="minorEastAsia" w:hAnsiTheme="minorEastAsia" w:eastAsiaTheme="minorEastAsia" w:cstheme="minorEastAsia"/>
          <w:spacing w:val="11"/>
          <w:sz w:val="28"/>
          <w:szCs w:val="28"/>
          <w:lang w:val="en-US" w:eastAsia="zh-CN"/>
        </w:rPr>
        <w:t>2. 预算执行方面。支出总额控制在预算总额以内；“三公”经费总体控制较好，未超本年预算。</w:t>
      </w:r>
    </w:p>
    <w:p>
      <w:pPr>
        <w:spacing w:before="189" w:line="564" w:lineRule="exact"/>
        <w:ind w:left="624" w:firstLine="604" w:firstLineChars="200"/>
        <w:rPr>
          <w:rFonts w:hint="eastAsia" w:asciiTheme="minorEastAsia" w:hAnsiTheme="minorEastAsia" w:eastAsiaTheme="minorEastAsia" w:cstheme="minorEastAsia"/>
          <w:spacing w:val="11"/>
          <w:sz w:val="28"/>
          <w:szCs w:val="28"/>
          <w:lang w:val="en-US" w:eastAsia="zh-CN"/>
        </w:rPr>
      </w:pPr>
      <w:r>
        <w:rPr>
          <w:rFonts w:hint="eastAsia" w:asciiTheme="minorEastAsia" w:hAnsiTheme="minorEastAsia" w:eastAsiaTheme="minorEastAsia" w:cstheme="minorEastAsia"/>
          <w:spacing w:val="11"/>
          <w:sz w:val="28"/>
          <w:szCs w:val="28"/>
          <w:lang w:val="en-US" w:eastAsia="zh-CN"/>
        </w:rPr>
        <w:t>3.预算管理方面，制度执行总体较为有效，仍需进一步强化；资金使用管理需进一步加强。</w:t>
      </w:r>
    </w:p>
    <w:p>
      <w:pPr>
        <w:spacing w:before="189" w:line="564" w:lineRule="exact"/>
        <w:ind w:left="624"/>
        <w:rPr>
          <w:rFonts w:hint="eastAsia" w:asciiTheme="minorEastAsia" w:hAnsiTheme="minorEastAsia" w:eastAsiaTheme="minorEastAsia" w:cstheme="minorEastAsia"/>
          <w:spacing w:val="11"/>
          <w:sz w:val="28"/>
          <w:szCs w:val="28"/>
          <w:lang w:val="en-US" w:eastAsia="zh-CN"/>
        </w:rPr>
      </w:pPr>
      <w:r>
        <w:rPr>
          <w:rFonts w:hint="eastAsia" w:asciiTheme="minorEastAsia" w:hAnsiTheme="minorEastAsia" w:eastAsiaTheme="minorEastAsia" w:cstheme="minorEastAsia"/>
          <w:spacing w:val="11"/>
          <w:sz w:val="28"/>
          <w:szCs w:val="28"/>
          <w:lang w:val="en-US" w:eastAsia="zh-CN"/>
        </w:rPr>
        <w:t>（二）效率性评价和有效性评价</w:t>
      </w:r>
    </w:p>
    <w:p>
      <w:pPr>
        <w:spacing w:before="189" w:line="564" w:lineRule="exact"/>
        <w:ind w:left="624" w:firstLine="604" w:firstLineChars="200"/>
        <w:rPr>
          <w:rFonts w:hint="eastAsia" w:asciiTheme="minorEastAsia" w:hAnsiTheme="minorEastAsia" w:eastAsiaTheme="minorEastAsia" w:cstheme="minorEastAsia"/>
          <w:spacing w:val="11"/>
          <w:sz w:val="28"/>
          <w:szCs w:val="28"/>
          <w:lang w:val="en-US" w:eastAsia="zh-CN"/>
        </w:rPr>
      </w:pPr>
      <w:r>
        <w:rPr>
          <w:rFonts w:hint="eastAsia" w:asciiTheme="minorEastAsia" w:hAnsiTheme="minorEastAsia" w:eastAsiaTheme="minorEastAsia" w:cstheme="minorEastAsia"/>
          <w:spacing w:val="11"/>
          <w:sz w:val="28"/>
          <w:szCs w:val="28"/>
          <w:lang w:val="en-US" w:eastAsia="zh-CN"/>
        </w:rPr>
        <w:t>我园预算安排的基本支出保障了幼儿园正常的工作运转，预算安排的项目支出是非常必要的，我园在执行上是严格遵守各项财经纪律的，在项目资金的使用上也是放心的。</w:t>
      </w:r>
    </w:p>
    <w:p>
      <w:pPr>
        <w:pStyle w:val="6"/>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6"/>
        <w:spacing w:beforeLines="0" w:afterLines="0" w:line="570" w:lineRule="exact"/>
        <w:jc w:val="left"/>
        <w:outlineLvl w:val="0"/>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1、强化预算执行，提高预算完成率。严格按项目和进度执行预算，合理安排资金支出，增强预算执行的规范性和严肃性切实提高预算完成率及资金使用效益。</w:t>
      </w:r>
    </w:p>
    <w:p>
      <w:pPr>
        <w:spacing w:beforeLines="0" w:afterLines="0" w:line="570" w:lineRule="exact"/>
        <w:ind w:firstLine="560" w:firstLineChars="200"/>
        <w:jc w:val="left"/>
        <w:rPr>
          <w:rFonts w:hint="default" w:eastAsia="仿宋_GB2312"/>
          <w:sz w:val="32"/>
          <w:szCs w:val="24"/>
        </w:rPr>
      </w:pPr>
      <w:r>
        <w:rPr>
          <w:rFonts w:hint="eastAsia" w:ascii="宋体" w:hAnsi="宋体" w:eastAsia="宋体" w:cs="宋体"/>
          <w:kern w:val="2"/>
          <w:sz w:val="28"/>
          <w:szCs w:val="28"/>
          <w:lang w:val="en-US" w:eastAsia="zh-CN" w:bidi="ar"/>
        </w:rPr>
        <w:t>2、加强绩效评价相关文件和知识的学习，提升绩效自评能力，结合单位实际和项目资金实际科学合理设置绩效目标，尽可能细化、量化。</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spacing w:before="196" w:line="570" w:lineRule="exact"/>
        <w:ind w:firstLine="560" w:firstLineChars="200"/>
        <w:rPr>
          <w:rFonts w:hint="eastAsia" w:ascii="宋体" w:hAnsi="宋体" w:eastAsia="宋体" w:cs="宋体"/>
          <w:sz w:val="28"/>
          <w:szCs w:val="36"/>
        </w:rPr>
      </w:pPr>
      <w:r>
        <w:rPr>
          <w:rFonts w:hint="eastAsia" w:ascii="宋体" w:hAnsi="宋体" w:eastAsia="宋体" w:cs="宋体"/>
          <w:sz w:val="28"/>
          <w:szCs w:val="36"/>
        </w:rPr>
        <w:t>牢固树立绩效理念。围绕“科学规范、公开公正、效益优先”的基本原则，将绩效理念贯穿预算编制、执行、结果的全过程，对预算项目支出实行绩效管理，由过去关注项目资金使用向关注项目可行性和项目效益性转变，从而实现事前、事中、事后监督全覆盖。</w:t>
      </w:r>
    </w:p>
    <w:p>
      <w:pPr>
        <w:pStyle w:val="2"/>
        <w:rPr>
          <w:rFonts w:hint="default"/>
        </w:rPr>
      </w:pPr>
    </w:p>
    <w:p>
      <w:pPr>
        <w:numPr>
          <w:ilvl w:val="0"/>
          <w:numId w:val="4"/>
        </w:numPr>
        <w:spacing w:beforeLines="0" w:afterLines="0" w:line="570" w:lineRule="exact"/>
        <w:ind w:firstLine="645"/>
        <w:jc w:val="left"/>
        <w:outlineLvl w:val="0"/>
        <w:rPr>
          <w:rFonts w:hint="eastAsia" w:eastAsia="黑体"/>
          <w:sz w:val="32"/>
          <w:szCs w:val="24"/>
        </w:rPr>
      </w:pPr>
      <w:r>
        <w:rPr>
          <w:rFonts w:hint="eastAsia" w:eastAsia="黑体"/>
          <w:sz w:val="32"/>
          <w:szCs w:val="24"/>
        </w:rPr>
        <w:t>部门整体支出绩效自评结果拟应用和公开情况</w:t>
      </w:r>
    </w:p>
    <w:p>
      <w:pPr>
        <w:spacing w:line="600" w:lineRule="exact"/>
        <w:ind w:firstLine="560" w:firstLineChars="200"/>
        <w:rPr>
          <w:rFonts w:hint="default"/>
        </w:rPr>
      </w:pPr>
      <w:r>
        <w:rPr>
          <w:rFonts w:hint="eastAsia" w:ascii="宋体" w:hAnsi="宋体" w:eastAsia="宋体" w:cs="宋体"/>
          <w:sz w:val="28"/>
          <w:szCs w:val="28"/>
        </w:rPr>
        <w:t>我单位部门整体支出绩效总体较好，各项目标基本达到了相应时期执行进度，使财政收支预算执行都得了较好的制度保障和实施效果。根据要求，在政府门户网站公开。</w:t>
      </w:r>
    </w:p>
    <w:p>
      <w:pPr>
        <w:spacing w:beforeLines="0" w:afterLines="0" w:line="570" w:lineRule="exact"/>
        <w:ind w:firstLine="645"/>
        <w:jc w:val="left"/>
        <w:rPr>
          <w:rFonts w:hint="eastAsia" w:eastAsia="黑体"/>
          <w:sz w:val="32"/>
          <w:szCs w:val="24"/>
        </w:rPr>
      </w:pPr>
      <w:r>
        <w:rPr>
          <w:rFonts w:hint="eastAsia" w:eastAsia="黑体"/>
          <w:sz w:val="32"/>
          <w:szCs w:val="24"/>
        </w:rPr>
        <w:t>其他需要说明的情况</w:t>
      </w:r>
    </w:p>
    <w:p>
      <w:pPr>
        <w:pStyle w:val="2"/>
        <w:rPr>
          <w:rFonts w:hint="default" w:eastAsia="黑体"/>
          <w:sz w:val="32"/>
          <w:szCs w:val="24"/>
        </w:rPr>
      </w:pPr>
      <w:r>
        <w:rPr>
          <w:rFonts w:hint="eastAsia" w:eastAsia="黑体"/>
          <w:sz w:val="32"/>
          <w:szCs w:val="24"/>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809BC"/>
    <w:multiLevelType w:val="singleLevel"/>
    <w:tmpl w:val="031809BC"/>
    <w:lvl w:ilvl="0" w:tentative="0">
      <w:start w:val="1"/>
      <w:numFmt w:val="chineseCounting"/>
      <w:suff w:val="nothing"/>
      <w:lvlText w:val="（%1）"/>
      <w:lvlJc w:val="left"/>
      <w:rPr>
        <w:rFonts w:hint="eastAsia"/>
      </w:rPr>
    </w:lvl>
  </w:abstractNum>
  <w:abstractNum w:abstractNumId="1">
    <w:nsid w:val="34E52AA0"/>
    <w:multiLevelType w:val="singleLevel"/>
    <w:tmpl w:val="34E52AA0"/>
    <w:lvl w:ilvl="0" w:tentative="0">
      <w:start w:val="9"/>
      <w:numFmt w:val="chineseCounting"/>
      <w:suff w:val="nothing"/>
      <w:lvlText w:val="%1、"/>
      <w:lvlJc w:val="left"/>
      <w:rPr>
        <w:rFonts w:hint="eastAsia"/>
      </w:rPr>
    </w:lvl>
  </w:abstractNum>
  <w:abstractNum w:abstractNumId="2">
    <w:nsid w:val="568550E7"/>
    <w:multiLevelType w:val="singleLevel"/>
    <w:tmpl w:val="568550E7"/>
    <w:lvl w:ilvl="0" w:tentative="0">
      <w:start w:val="4"/>
      <w:numFmt w:val="chineseCounting"/>
      <w:suff w:val="nothing"/>
      <w:lvlText w:val="%1、"/>
      <w:lvlJc w:val="left"/>
      <w:rPr>
        <w:rFonts w:hint="eastAsia"/>
      </w:rPr>
    </w:lvl>
  </w:abstractNum>
  <w:abstractNum w:abstractNumId="3">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OTQ1ZGRiZWExNDY3N2YwYTJmYzVkMDIyM2ZjNTkifQ=="/>
  </w:docVars>
  <w:rsids>
    <w:rsidRoot w:val="6CA40D73"/>
    <w:rsid w:val="6CA4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6">
    <w:name w:val="List Paragraph"/>
    <w:basedOn w:val="1"/>
    <w:autoRedefine/>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2024-07-22T03:08:00Z</dcterms:created>
  <dc:creator>岚岚岚</dc:creator>
  <cp:lastModifiedBy>岚岚岚</cp:lastModifiedBy>
  <dcterms:modified xsi:type="dcterms:W3CDTF">2024-07-22T03:09:41Z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B06D41DC68E843899805E7D9B6597371_11</vt:lpwstr>
  </property>
</Properties>
</file>