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双牌县塘底乡中心幼儿园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部门（单位）整体支出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szCs w:val="24"/>
          <w:u w:val="single"/>
          <w:lang w:val="en-US"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双牌县塘底乡中心幼儿园</w:t>
      </w:r>
    </w:p>
    <w:p>
      <w:pPr>
        <w:spacing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 xml:space="preserve">月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日</w:t>
      </w:r>
    </w:p>
    <w:p>
      <w:pPr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ind w:firstLine="600" w:firstLineChars="200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1、</w:t>
      </w:r>
      <w:r>
        <w:rPr>
          <w:rFonts w:hint="eastAsia"/>
          <w:sz w:val="30"/>
          <w:szCs w:val="30"/>
          <w:highlight w:val="none"/>
        </w:rPr>
        <w:t xml:space="preserve">部门主要职责 </w:t>
      </w:r>
      <w:r>
        <w:rPr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全面贯彻党的教育方针，推行素质教育，加强师德师风建设，搞好教书育人工作，认真完成幼儿园教育教学任务，努力提高全体师生的综合素质。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rPr>
          <w:rFonts w:hint="eastAsia" w:ascii="宋体" w:hAnsi="宋体" w:eastAsia="宋体" w:cs="仿宋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2、</w:t>
      </w:r>
      <w:r>
        <w:rPr>
          <w:rFonts w:hint="eastAsia"/>
          <w:sz w:val="30"/>
          <w:szCs w:val="30"/>
          <w:highlight w:val="none"/>
          <w:lang w:eastAsia="zh-CN"/>
        </w:rPr>
        <w:t>机构</w:t>
      </w:r>
      <w:r>
        <w:rPr>
          <w:rFonts w:hint="eastAsia" w:ascii="宋体" w:hAnsi="宋体" w:cs="仿宋"/>
          <w:sz w:val="30"/>
          <w:szCs w:val="30"/>
          <w:shd w:val="clear" w:color="auto" w:fill="FFFFFF"/>
        </w:rPr>
        <w:t>设置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jc w:val="both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双牌县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塘底乡中心幼儿园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属于全额拨款事业单位，现有教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工2人，其中在编人员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人，临聘人员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人；学校有1个教学班，在校学生</w:t>
      </w:r>
      <w:r>
        <w:rPr>
          <w:rFonts w:hint="default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人；校舍面积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1258.43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平方米；主要办公设备有：打印机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台，台式电脑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台，笔记本电脑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台等。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我校共有4个内设机构：办公室，教务处，总务处，工会。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按照文件要求，我们根据部门整体支出绩效考评指标对我单位202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年基本支出、三公经费、项目支出和厉行节约等方面的情况进行自评，主要包括预算配置、预算执行、预算管理、职责履行、履职效益及厉行节约保障措施等方面的情况，详见附件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附件2、附件3。</w:t>
      </w:r>
    </w:p>
    <w:p>
      <w:pPr>
        <w:pStyle w:val="10"/>
        <w:spacing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0"/>
        <w:spacing w:line="600" w:lineRule="exact"/>
        <w:ind w:firstLine="64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年度财政拨款基本支出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22.91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万元，其中：人员经费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15.41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万元，占基本支出的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91.59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%，主要包括：基本工资、津贴补贴、奖金、绩效工资、机关事业单位基本养老保险缴费、职业年金缴费、职工基本医疗保险缴费、住房公积金、其他工资福利支出、奖励金。公用经费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万元，占基本支出的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8.41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%，主要包括：办公费、水费、电费、差旅费、维修（护）费、培训费、公务接待费、专用材料费、劳务费、工会经费、其他交通费用、其他商品和服务支出。</w:t>
      </w:r>
    </w:p>
    <w:p>
      <w:pPr>
        <w:pStyle w:val="10"/>
        <w:numPr>
          <w:ilvl w:val="0"/>
          <w:numId w:val="2"/>
        </w:numPr>
        <w:spacing w:line="570" w:lineRule="exact"/>
        <w:ind w:left="0" w:leftChars="0" w:firstLine="640" w:firstLineChars="200"/>
        <w:outlineLvl w:val="1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0"/>
        <w:numPr>
          <w:ilvl w:val="0"/>
          <w:numId w:val="0"/>
        </w:numPr>
        <w:spacing w:line="570" w:lineRule="exact"/>
        <w:ind w:leftChars="200" w:firstLine="640" w:firstLineChars="20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年度财政拨款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/>
        </w:rPr>
        <w:t>6.5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其中资本性支出(基本建设)0</w:t>
      </w:r>
      <w:r>
        <w:rPr>
          <w:rFonts w:hint="eastAsia" w:ascii="楷体_GB2312" w:hAnsi="楷体_GB2312" w:eastAsia="宋体"/>
          <w:sz w:val="32"/>
          <w:szCs w:val="32"/>
          <w:lang w:val="en-US" w:eastAsia="zh-CN"/>
        </w:rPr>
        <w:t>万元，资本性支出(基础设施建设)0万元，对个人和家庭的补助0万元。</w:t>
      </w:r>
    </w:p>
    <w:p>
      <w:pPr>
        <w:pStyle w:val="10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</w:t>
      </w:r>
    </w:p>
    <w:p>
      <w:pPr>
        <w:pStyle w:val="10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</w:t>
      </w:r>
    </w:p>
    <w:p>
      <w:pPr>
        <w:pStyle w:val="10"/>
        <w:numPr>
          <w:ilvl w:val="0"/>
          <w:numId w:val="1"/>
        </w:numPr>
        <w:spacing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numPr>
          <w:ilvl w:val="0"/>
          <w:numId w:val="0"/>
        </w:numPr>
        <w:spacing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年度部门整体支出状况的概述和分析，部门整体支出绩效情况如下：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（一）经济效益评价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本年预算配置控制较好。财政供养人员控制在预算编制以内，编制内在职人员控制率为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%；“三公”经费预算总额较上年有所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主要原因是响应政策要求，压缩公务接待开支。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 预算执行方面。支出总额控制在预算总额以内；“三公”经费总体控制较好，未超本年预算。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3.预算管理方面，制度执行总体较为有效，仍需进一步强化；资金使用管理需进一步加强。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（二）效率性评价和有效性评价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我校预算安排的基本支出保障了学校正常的工作运转，预算安排的项目支出是非常必要的，我校在执行上是严格遵守各项财经纪律的，在项目资金的使用上也是放心的。</w:t>
      </w:r>
    </w:p>
    <w:p>
      <w:pPr>
        <w:pStyle w:val="10"/>
        <w:spacing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资金使用过程严格按程序严谨，但部分资金安排上出现一些不合理现象，部分支出执行不到位。预算编制的合理性有待提高。</w:t>
      </w:r>
    </w:p>
    <w:p>
      <w:pPr>
        <w:numPr>
          <w:ilvl w:val="0"/>
          <w:numId w:val="3"/>
        </w:numPr>
        <w:spacing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针对上述存在的问题及我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整体支出管理工作的需要，实施的改进措施如下：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开展形式多样的教育教学工作。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 不断改善办学条件。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 强化管理，加强对教师业务水平培训。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．加强项目开展进度的跟踪，开展项目绩效评价，确保项目绩效目标的完成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2023年我校绩效自评结果良好，已公开。</w:t>
      </w:r>
    </w:p>
    <w:p>
      <w:pPr>
        <w:spacing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、部门整体支出绩效自评表</w:t>
      </w:r>
    </w:p>
    <w:p>
      <w:pPr>
        <w:spacing w:line="600" w:lineRule="exact"/>
        <w:ind w:firstLine="640" w:firstLineChars="200"/>
        <w:rPr>
          <w:rFonts w:hint="default" w:eastAsia="仿宋_GB2312"/>
          <w:b/>
          <w:bCs/>
          <w:lang w:val="en-US" w:eastAsia="zh-CN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项目</w:t>
      </w:r>
      <w:r>
        <w:rPr>
          <w:rFonts w:ascii="仿宋_GB2312" w:hAnsi="仿宋_GB2312" w:eastAsia="仿宋_GB2312"/>
          <w:sz w:val="32"/>
          <w:szCs w:val="32"/>
        </w:rPr>
        <w:t>支出绩效自评表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</w:rPr>
        <w:t>、政府性基金预算支出情况表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/>
          <w:sz w:val="32"/>
          <w:szCs w:val="32"/>
        </w:rPr>
        <w:t>、国有资本经营预算支出情况表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、社会保险基金预算支出情况表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val="en-US" w:eastAsia="zh-CN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塘底乡中心幼儿园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1.57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6.557311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6.557311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1.57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6.557311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6.557311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2.12113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2.12113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00.16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0.658706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0.658706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00.05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0.2811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0.2811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楼堂馆所控制情况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</w:rPr>
              <w:t>严格按年初预算，厉行节约减少办公费、水电费开支、控制会议次数与规模、招待，不招待的坚决不招待，应招待的节约招待。上述费用均控制预算范围内！</w:t>
            </w:r>
            <w:r>
              <w:rPr>
                <w:rFonts w:ascii="仿宋_GB2312" w:hAnsi="仿宋_GB2312" w:eastAsia="仿宋_GB2312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  <w:r>
        <w:rPr>
          <w:rFonts w:hint="eastAsia" w:ascii="宋体" w:hAnsi="宋体" w:eastAsia="宋体" w:cs="宋体"/>
          <w:sz w:val="24"/>
          <w:szCs w:val="24"/>
        </w:rPr>
        <w:t xml:space="preserve">  填报日期：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2024.6.5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4846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2900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942"/>
        <w:gridCol w:w="920"/>
        <w:gridCol w:w="1072"/>
        <w:gridCol w:w="67"/>
        <w:gridCol w:w="1136"/>
        <w:gridCol w:w="1201"/>
        <w:gridCol w:w="713"/>
        <w:gridCol w:w="879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5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双牌县塘底乡中心幼儿园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年初预算数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全年预算数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全年执行数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执行率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22.91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22.91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22.91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22.91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16.41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项目支出：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  <w:lang w:val="en-US"/>
              </w:rPr>
              <w:t>15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15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付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工程款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督导评估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成绩检测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年度内教育目标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年度内完成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年度内完成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付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工程款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工资福利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5"/>
                <w:szCs w:val="15"/>
                <w:lang w:val="en-US" w:eastAsia="zh-CN"/>
              </w:rPr>
              <w:t>18.0029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宋体"/>
                <w:color w:val="000000"/>
                <w:kern w:val="0"/>
                <w:sz w:val="15"/>
                <w:szCs w:val="15"/>
                <w:lang w:val="en-US" w:eastAsia="zh-CN"/>
              </w:rPr>
              <w:t>18.0029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2.12113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2.12113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  <w:lang w:val="en-US"/>
              </w:rPr>
              <w:t>23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2.91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学生人数减少，支出减少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学生就学条件改善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教师培训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0.2万元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0.2811万元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培训次数增加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绿化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维护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清</w:t>
            </w:r>
            <w:r>
              <w:rPr>
                <w:rFonts w:hint="eastAsia" w:ascii="仿宋_GB2312" w:hAnsi="仿宋_GB2312"/>
                <w:color w:val="000000"/>
                <w:kern w:val="0"/>
                <w:sz w:val="21"/>
                <w:szCs w:val="21"/>
                <w:lang w:val="en-US" w:eastAsia="zh-CN"/>
              </w:rPr>
              <w:t>理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人次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人次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招生数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  <w:lang w:val="en-US"/>
              </w:rPr>
              <w:t>20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  <w:lang w:val="en-US"/>
              </w:rPr>
              <w:t>15</w:t>
            </w: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升学率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教学质量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学生体质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优良率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优良率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1"/>
                <w:szCs w:val="21"/>
              </w:rPr>
              <w:t>教学质量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9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  <w:r>
        <w:rPr>
          <w:rFonts w:hint="eastAsia" w:ascii="宋体" w:hAnsi="宋体" w:eastAsia="宋体" w:cs="宋体"/>
          <w:sz w:val="24"/>
          <w:szCs w:val="24"/>
        </w:rPr>
        <w:t xml:space="preserve">  填报日期：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2024.6.5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4846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2900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幼儿伙食费、保教保育费、公用经费、扩建项目、维修项目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6.5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1、确保幼儿工园作正常运转，提高幼儿教育，提高满意度。2、保障幼儿膳食营养，促进幼儿身心健康发展。3、提升幼儿园办园环境、改善教育教学质量。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该项目的实施，保障了幼儿园工作正常运转和幼儿膳食营养均衡，安全卫生，促进幼儿身心健康发展。提升幼儿园办园环境、改善教育教学质量。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1、最大力度的保障了2023年全体幼儿伙食费、点心费的开支。2、确保经费的各项开支，很好的完成了每次活动。3、提升幼儿园办园环境、改善教育教学质量。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1、资金的预算和使用规划不具体。2、各部门学期初的计划不详细。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加强与财政和主管部门沟通，把握资金拨付动态，提前做好资金规划；提前做好项目预算，准确把握项目资金需求。2、各部门需在每学期初制定详尽的活动计划和经费预算，保证活动的顺利开展，并达到预期效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2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备注：每个项目支出分别填报自评报告和自评表。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  <w:r>
        <w:rPr>
          <w:rFonts w:hint="eastAsia" w:ascii="宋体" w:hAnsi="宋体" w:eastAsia="宋体" w:cs="宋体"/>
          <w:sz w:val="24"/>
          <w:szCs w:val="24"/>
        </w:rPr>
        <w:t xml:space="preserve">  填报日期：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2024.6.5</w:t>
      </w:r>
      <w:r>
        <w:rPr>
          <w:rFonts w:hint="eastAsia" w:ascii="宋体" w:hAnsi="宋体" w:eastAsia="宋体" w:cs="宋体"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4846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2900</w:t>
      </w:r>
      <w:r>
        <w:rPr>
          <w:rFonts w:hint="eastAsia" w:ascii="宋体" w:hAnsi="宋体" w:eastAsia="宋体" w:cs="宋体"/>
          <w:sz w:val="24"/>
          <w:szCs w:val="24"/>
        </w:rPr>
        <w:t xml:space="preserve">  单位负责人签字：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胡媛媛</w:t>
      </w:r>
    </w:p>
    <w:p>
      <w:pPr>
        <w:spacing w:line="600" w:lineRule="exact"/>
        <w:jc w:val="left"/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附件5</w:t>
      </w:r>
    </w:p>
    <w:p>
      <w:pPr>
        <w:spacing w:after="120" w:afterLines="50" w:line="600" w:lineRule="exact"/>
        <w:jc w:val="center"/>
        <w:outlineLvl w:val="1"/>
      </w:pPr>
      <w:r>
        <w:rPr>
          <w:rFonts w:hint="default" w:ascii="方正小标宋简体" w:hAnsi="Times New Roman" w:eastAsia="方正小标宋简体" w:cs="宋体"/>
          <w:b w:val="0"/>
          <w:bCs w:val="0"/>
          <w:i w:val="0"/>
          <w:iCs w:val="0"/>
          <w:color w:val="auto"/>
          <w:kern w:val="2"/>
          <w:sz w:val="44"/>
          <w:szCs w:val="24"/>
          <w:highlight w:val="none"/>
          <w:vertAlign w:val="baseline"/>
          <w:lang w:val="en-US" w:eastAsia="zh-CN" w:bidi="ar-SA"/>
        </w:rPr>
        <w:t>2023年度项目支出绩效自评表</w:t>
      </w:r>
    </w:p>
    <w:tbl>
      <w:tblPr>
        <w:tblStyle w:val="7"/>
        <w:tblW w:w="945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项目支</w:t>
            </w:r>
          </w:p>
          <w:p>
            <w:pPr>
              <w:spacing w:line="26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项目资金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年初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6.5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6.5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center" w:pos="540"/>
              </w:tabs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6.5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400"/>
              </w:tabs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720" w:firstLineChars="30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720" w:firstLineChars="30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保障幼儿膳食营养均衡，安全卫生，促进幼儿身心健康发展。　</w:t>
            </w:r>
          </w:p>
          <w:p>
            <w:pPr>
              <w:adjustRightInd/>
              <w:snapToGrid/>
              <w:spacing w:line="40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确保幼儿工园作正常运转，提高幼儿教育，提高满意度。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/>
              <w:snapToGrid/>
              <w:spacing w:line="400" w:lineRule="exact"/>
              <w:ind w:left="238" w:leftChars="0" w:firstLine="0" w:firstLineChars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最大力度的保障了2023年全体幼儿伙食费、点心费的开支。</w:t>
            </w:r>
          </w:p>
          <w:p>
            <w:pPr>
              <w:adjustRightInd/>
              <w:snapToGrid/>
              <w:spacing w:line="400" w:lineRule="exact"/>
              <w:ind w:left="238" w:leftChars="0" w:firstLine="0" w:firstLineChars="0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确保经费的各项开支，很好的完成了每次活动。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绩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效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年度</w:t>
            </w:r>
          </w:p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实际</w:t>
            </w:r>
          </w:p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偏差原因</w:t>
            </w:r>
          </w:p>
          <w:p>
            <w:pPr>
              <w:spacing w:line="240" w:lineRule="exact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分析及</w:t>
            </w:r>
          </w:p>
          <w:p>
            <w:pPr>
              <w:spacing w:line="240" w:lineRule="exact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成本指标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（20分）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产出指标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（40分）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总分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经济成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社会成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活动开展情况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仿宋_GB2312" w:hAnsi="Times New Roman" w:eastAsia="Times New Roman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仿宋_GB2312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仿宋_GB2312" w:hAnsi="Times New Roman" w:eastAsia="Times New Roman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仿宋_GB2312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8次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改善校园环境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生态环境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成本指标</w:t>
            </w:r>
          </w:p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数量指标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全年幼儿人数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仿宋_GB2312" w:hAnsi="Times New Roman" w:eastAsia="Times New Roman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≥15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仿宋_GB2312" w:hAnsi="Times New Roman" w:eastAsia="Times New Roman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≥15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营养卫生合格率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产出指标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（40分）效益指标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（20分）</w:t>
            </w:r>
          </w:p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时效指标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经济效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幼儿伙食供应时间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2023年1月-2024年1月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2023年1月-2024年1月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运转保障率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质量指标生态效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时效指标社会效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效益指标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（20分）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满意度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指标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（10分）</w:t>
            </w:r>
          </w:p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经济效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益指标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家长幼儿满意程度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教师满意度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98%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98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社会效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满意度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指标</w:t>
            </w:r>
          </w:p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　</w:t>
            </w:r>
          </w:p>
        </w:tc>
      </w:tr>
    </w:tbl>
    <w:p>
      <w:pPr>
        <w:spacing w:line="240" w:lineRule="auto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备注：每个项目支出分别填报自评报告和自评表。</w:t>
      </w:r>
    </w:p>
    <w:p>
      <w:pPr>
        <w:spacing w:line="240" w:lineRule="auto"/>
        <w:jc w:val="left"/>
      </w:pPr>
    </w:p>
    <w:p>
      <w:pPr>
        <w:pStyle w:val="2"/>
        <w:numPr>
          <w:ilvl w:val="0"/>
          <w:numId w:val="0"/>
        </w:num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填表人：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胡媛媛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     填报日期：2024.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.5      联系电话：15348462900      单位负责人签字：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胡媛媛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000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+XyT6LcBAABQ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CUOlC4AQAAUA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5GXuUB9igxfvwi1MUUQ3yx0U2PxFIWQo&#10;XT1duiqHRAQeLter9brG5gvMzQHiVA/PA8T0XnpLssMo4NhKN/nxY0zj1flKrmZcts7faGPGbD6p&#10;Ms2RWPbSsBsmtjvfnlAlrimCdx6+UdLjyBl1uJOUmA8OO5q3Y3Zgdnazw53Ah4wmSg4B9L5DpGXh&#10;GMO7Q0IqhWcuPFab+ODYitJpxfJe/B2XWw8/wvY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OCUOlC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Times New Roman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rFonts w:hint="eastAsia"/>
      <w:kern w:val="0"/>
      <w:sz w:val="28"/>
      <w:szCs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3736</Words>
  <Characters>4178</Characters>
  <Paragraphs>855</Paragraphs>
  <TotalTime>38</TotalTime>
  <ScaleCrop>false</ScaleCrop>
  <LinksUpToDate>false</LinksUpToDate>
  <CharactersWithSpaces>4454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2024-12-13T00:51:33Z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E325D4410C2E4BF09AC0E5F014B2C132_13</vt:lpwstr>
  </property>
</Properties>
</file>