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双牌县泷泊镇第一完全小学</w:t>
      </w:r>
      <w:r>
        <w:rPr>
          <w:rFonts w:hint="eastAsia" w:ascii="方正小标宋简体" w:eastAsia="方正小标宋简体"/>
          <w:sz w:val="52"/>
          <w:szCs w:val="24"/>
        </w:rPr>
        <w:t>整体支出绩效自评报告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  <w:lang w:eastAsia="zh-CN"/>
        </w:rPr>
        <w:t>双牌县泷泊镇第一完全小学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5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20</w:t>
      </w:r>
      <w:r>
        <w:rPr>
          <w:rFonts w:hint="eastAsia" w:eastAsia="楷体_GB2312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520" w:lineRule="exact"/>
        <w:ind w:firstLine="640" w:firstLineChars="200"/>
        <w:rPr>
          <w:rFonts w:hint="eastAsia" w:asci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（一）部门（单位）职能职责、机构编制、人员构成等。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52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Style w:val="11"/>
          <w:rFonts w:hint="eastAsia" w:eastAsia="楷体"/>
          <w:b/>
          <w:bCs w:val="0"/>
          <w:lang w:val="en-US" w:eastAsia="zh-CN"/>
        </w:rPr>
        <w:t>1、职能职责。</w:t>
      </w:r>
      <w:r>
        <w:rPr>
          <w:rFonts w:hint="eastAsia" w:ascii="仿宋" w:hAnsi="仿宋" w:eastAsia="仿宋" w:cs="仿宋"/>
          <w:sz w:val="32"/>
          <w:szCs w:val="32"/>
        </w:rPr>
        <w:t>全面贯彻党的教育方针，推行素质教育，加强师德师风建设，搞好教书育人工作，认真完成小学教育教学任务，努力提高全体师生的综合素质。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11"/>
          <w:rFonts w:hint="eastAsia" w:eastAsia="楷体"/>
          <w:b w:val="0"/>
          <w:bCs/>
          <w:lang w:val="en-US" w:eastAsia="zh-CN"/>
        </w:rPr>
        <w:t>2、</w:t>
      </w:r>
      <w:r>
        <w:rPr>
          <w:rStyle w:val="11"/>
          <w:rFonts w:hint="eastAsia"/>
        </w:rPr>
        <w:t>机构情况</w:t>
      </w:r>
      <w:r>
        <w:rPr>
          <w:rStyle w:val="11"/>
          <w:rFonts w:hint="eastAsia" w:eastAsia="楷体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年本单位由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双牌县泷泊镇第一完全小学</w:t>
      </w:r>
      <w:r>
        <w:rPr>
          <w:rFonts w:hint="eastAsia" w:ascii="仿宋" w:hAnsi="仿宋" w:eastAsia="仿宋" w:cs="仿宋"/>
          <w:sz w:val="32"/>
          <w:szCs w:val="32"/>
        </w:rPr>
        <w:t>本级组成。本单位属全额事业单位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520" w:lineRule="exact"/>
        <w:ind w:firstLine="640" w:firstLineChars="200"/>
        <w:rPr>
          <w:rFonts w:hint="eastAsia" w:ascii="仿宋_GB2312" w:eastAsia="仿宋_GB2312"/>
          <w:color w:val="auto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24"/>
          <w:lang w:val="en-US" w:eastAsia="zh-CN"/>
        </w:rPr>
        <w:t>现有核算机构1个，与上年无变化。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520" w:lineRule="exact"/>
        <w:ind w:firstLine="640" w:firstLineChars="200"/>
        <w:rPr>
          <w:rFonts w:hint="eastAsia" w:ascii="仿宋_GB2312" w:eastAsia="仿宋_GB2312"/>
          <w:color w:val="auto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24"/>
          <w:lang w:val="en-US" w:eastAsia="zh-CN"/>
        </w:rPr>
        <w:t>根据上述职责，学校设校长室、办公室、总务处、教导处、政工处、少先队等机构。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11"/>
          <w:rFonts w:hint="eastAsia" w:eastAsia="楷体"/>
          <w:b w:val="0"/>
          <w:bCs/>
          <w:color w:val="auto"/>
          <w:lang w:val="en-US" w:eastAsia="zh-CN"/>
        </w:rPr>
        <w:t>3、</w:t>
      </w:r>
      <w:r>
        <w:rPr>
          <w:rStyle w:val="11"/>
          <w:rFonts w:hint="eastAsia"/>
          <w:color w:val="auto"/>
        </w:rPr>
        <w:t>人员情况。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年本单位年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在职在编教师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增加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人。人员变化的主要原因是：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调入9人，调出2人，退休6人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520" w:lineRule="exact"/>
        <w:ind w:firstLine="640" w:firstLineChars="200"/>
        <w:rPr>
          <w:rFonts w:hint="eastAsia" w:ascii="仿宋_GB2312" w:eastAsia="仿宋_GB2312"/>
          <w:color w:val="auto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24"/>
          <w:lang w:val="en-US" w:eastAsia="zh-CN"/>
        </w:rPr>
        <w:t>（二）部门（单位）整体支出规模，包括但不限于部门整体支出情况、部门预算收支决算情况及“三公经费”支出使用和管理情况。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520" w:lineRule="exact"/>
        <w:ind w:firstLine="643" w:firstLineChars="200"/>
        <w:rPr>
          <w:rStyle w:val="11"/>
          <w:rFonts w:hint="eastAsia"/>
          <w:color w:val="auto"/>
        </w:rPr>
      </w:pPr>
      <w:r>
        <w:rPr>
          <w:rStyle w:val="11"/>
          <w:rFonts w:hint="eastAsia" w:eastAsia="楷体"/>
          <w:color w:val="auto"/>
          <w:lang w:val="en-US" w:eastAsia="zh-CN"/>
        </w:rPr>
        <w:t>4、</w:t>
      </w:r>
      <w:r>
        <w:rPr>
          <w:rStyle w:val="11"/>
          <w:rFonts w:hint="eastAsia" w:eastAsia="楷体"/>
          <w:color w:val="auto"/>
          <w:lang w:eastAsia="zh-CN"/>
        </w:rPr>
        <w:t>收</w:t>
      </w:r>
      <w:r>
        <w:rPr>
          <w:rStyle w:val="11"/>
          <w:rFonts w:hint="eastAsia"/>
          <w:color w:val="auto"/>
        </w:rPr>
        <w:t>入支出预算安排情况。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color w:val="auto"/>
          <w:sz w:val="32"/>
          <w:szCs w:val="32"/>
        </w:rPr>
        <w:t>年，本部门年初预算收入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2280.52</w:t>
      </w:r>
      <w:r>
        <w:rPr>
          <w:rFonts w:ascii="仿宋" w:hAnsi="仿宋" w:eastAsia="仿宋" w:cs="仿宋"/>
          <w:color w:val="auto"/>
          <w:sz w:val="32"/>
          <w:szCs w:val="32"/>
        </w:rPr>
        <w:t>万元，与上年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仿宋"/>
          <w:color w:val="auto"/>
          <w:sz w:val="32"/>
          <w:szCs w:val="32"/>
        </w:rPr>
        <w:t>对比增加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265.07</w:t>
      </w:r>
      <w:r>
        <w:rPr>
          <w:rFonts w:ascii="仿宋" w:hAnsi="仿宋" w:eastAsia="仿宋" w:cs="仿宋"/>
          <w:color w:val="auto"/>
          <w:sz w:val="32"/>
          <w:szCs w:val="32"/>
        </w:rPr>
        <w:t>万元，增加了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11.65</w:t>
      </w:r>
      <w:r>
        <w:rPr>
          <w:rFonts w:ascii="仿宋" w:hAnsi="仿宋" w:eastAsia="仿宋" w:cs="仿宋"/>
          <w:color w:val="auto"/>
          <w:sz w:val="32"/>
          <w:szCs w:val="32"/>
        </w:rPr>
        <w:t>%，主要原因为本年度基本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工资福利支出</w:t>
      </w:r>
      <w:r>
        <w:rPr>
          <w:rFonts w:ascii="仿宋" w:hAnsi="仿宋" w:eastAsia="仿宋" w:cs="仿宋"/>
          <w:color w:val="auto"/>
          <w:sz w:val="32"/>
          <w:szCs w:val="32"/>
        </w:rPr>
        <w:t>增加。政府性基金预算财政拨款收入年初预算0万元，比上年增减0万元；上级补助收入年初预算0万元，比上年增减0万元；事业收入年初预算0万元，比上年增减0万元；经营收入年初预算收入0万元，比上年增减0万元；附属单位上缴收入年初预算收入0万元，比上年增减0万元；其他收入年初预算收入0万元，比上年增减0万元。年度执行中因单位人数变动及单位事权调整，预算跟随调整情况，主要变化是：收入调整预算数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2295.0</w:t>
      </w:r>
      <w:r>
        <w:rPr>
          <w:rFonts w:ascii="仿宋" w:hAnsi="仿宋" w:eastAsia="仿宋" w:cs="仿宋"/>
          <w:color w:val="auto"/>
          <w:sz w:val="32"/>
          <w:szCs w:val="32"/>
        </w:rPr>
        <w:t>万元，其中：一般公共预算财政拨款收入调整预算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2295.0</w:t>
      </w:r>
      <w:r>
        <w:rPr>
          <w:rFonts w:ascii="仿宋" w:hAnsi="仿宋" w:eastAsia="仿宋" w:cs="仿宋"/>
          <w:color w:val="auto"/>
          <w:sz w:val="32"/>
          <w:szCs w:val="32"/>
        </w:rPr>
        <w:t>万元；政府性基金预算财政拨款收入调整预算0万元；上级补助收入调整预算0万元；事业收入调整预算0万元；经营收入调整预算收入0万元，比上年增减0；附属单位上缴收入调整预算收入0万元；其他收入调整预算收入0万元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hint="default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1、收入支出与预算对比分析。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hint="default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color w:val="auto"/>
          <w:sz w:val="32"/>
          <w:szCs w:val="32"/>
        </w:rPr>
        <w:t>年收入实际完成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2293.7</w:t>
      </w:r>
      <w:r>
        <w:rPr>
          <w:rFonts w:ascii="仿宋" w:hAnsi="仿宋" w:eastAsia="仿宋" w:cs="仿宋"/>
          <w:color w:val="auto"/>
          <w:sz w:val="32"/>
          <w:szCs w:val="32"/>
        </w:rPr>
        <w:t>万元，比上年增加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161.08</w:t>
      </w:r>
      <w:r>
        <w:rPr>
          <w:rFonts w:ascii="仿宋" w:hAnsi="仿宋" w:eastAsia="仿宋" w:cs="仿宋"/>
          <w:color w:val="auto"/>
          <w:sz w:val="32"/>
          <w:szCs w:val="32"/>
        </w:rPr>
        <w:t>万元，上涨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55</w:t>
      </w:r>
      <w:r>
        <w:rPr>
          <w:rFonts w:ascii="仿宋" w:hAnsi="仿宋" w:eastAsia="仿宋" w:cs="仿宋"/>
          <w:color w:val="auto"/>
          <w:sz w:val="32"/>
          <w:szCs w:val="32"/>
        </w:rPr>
        <w:t>%。主要原因是：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教师增资，生均公用经费增加</w:t>
      </w:r>
      <w:r>
        <w:rPr>
          <w:rFonts w:ascii="仿宋" w:hAnsi="仿宋" w:eastAsia="仿宋" w:cs="仿宋"/>
          <w:color w:val="auto"/>
          <w:sz w:val="32"/>
          <w:szCs w:val="32"/>
        </w:rPr>
        <w:t>。政府性基金财政拨款收入完成0万元，比上年0万元，增长(下降)0%，与上年无变化；上级补助收入完成0万元，比上年0万元；事业收入完成0万元，比上年0万元，增长(下降)0%，与上年无变化；经营收入完成0万元，比上年0万元,增长(下降)0%，与上年无变化；附属单位上缴收入完成0万元，比上年0万元；其他收入完成0万元，比上年0万元，增长(下降)0%，于上年无变化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hint="default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color w:val="auto"/>
          <w:sz w:val="32"/>
          <w:szCs w:val="32"/>
        </w:rPr>
        <w:t>年，本部门支出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2280.52</w:t>
      </w:r>
      <w:r>
        <w:rPr>
          <w:rFonts w:ascii="仿宋" w:hAnsi="仿宋" w:eastAsia="仿宋" w:cs="仿宋"/>
          <w:color w:val="auto"/>
          <w:sz w:val="32"/>
          <w:szCs w:val="32"/>
        </w:rPr>
        <w:t>万元，比上年增加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265.07</w:t>
      </w:r>
      <w:r>
        <w:rPr>
          <w:rFonts w:ascii="仿宋" w:hAnsi="仿宋" w:eastAsia="仿宋" w:cs="仿宋"/>
          <w:color w:val="auto"/>
          <w:sz w:val="32"/>
          <w:szCs w:val="32"/>
        </w:rPr>
        <w:t>万元，上涨11.65%；变化的主要原因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是基本工资福利支出方面增加，年度执行中因单位人数变动及单位事权调整，预算跟随调整情况</w:t>
      </w:r>
      <w:r>
        <w:rPr>
          <w:rFonts w:ascii="仿宋" w:hAnsi="仿宋" w:eastAsia="仿宋" w:cs="仿宋"/>
          <w:color w:val="auto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hint="default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2.收入支出结构分析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hint="default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(1)关于202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color w:val="auto"/>
          <w:sz w:val="32"/>
          <w:szCs w:val="32"/>
        </w:rPr>
        <w:t>年度收入支出决算总体情况说明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hint="default" w:asci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color w:val="auto"/>
          <w:sz w:val="32"/>
          <w:szCs w:val="32"/>
        </w:rPr>
        <w:t>年度本年收入总计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2293.7</w:t>
      </w:r>
      <w:r>
        <w:rPr>
          <w:rFonts w:ascii="仿宋" w:hAnsi="仿宋" w:eastAsia="仿宋" w:cs="仿宋"/>
          <w:color w:val="auto"/>
          <w:sz w:val="32"/>
          <w:szCs w:val="32"/>
        </w:rPr>
        <w:t>万元，财政拨款收入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2293.7</w:t>
      </w:r>
      <w:r>
        <w:rPr>
          <w:rFonts w:ascii="仿宋" w:hAnsi="仿宋" w:eastAsia="仿宋" w:cs="仿宋"/>
          <w:color w:val="auto"/>
          <w:sz w:val="32"/>
          <w:szCs w:val="32"/>
        </w:rPr>
        <w:t>万元，202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color w:val="auto"/>
          <w:sz w:val="32"/>
          <w:szCs w:val="32"/>
        </w:rPr>
        <w:t>年度决算总支出总计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2293.7</w:t>
      </w:r>
      <w:r>
        <w:rPr>
          <w:rFonts w:ascii="仿宋" w:hAnsi="仿宋" w:eastAsia="仿宋" w:cs="仿宋"/>
          <w:color w:val="auto"/>
          <w:sz w:val="32"/>
          <w:szCs w:val="32"/>
        </w:rPr>
        <w:t>万元，即教育支出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2144.8</w:t>
      </w:r>
      <w:r>
        <w:rPr>
          <w:rFonts w:ascii="仿宋" w:hAnsi="仿宋" w:eastAsia="仿宋" w:cs="仿宋"/>
          <w:color w:val="auto"/>
          <w:sz w:val="32"/>
          <w:szCs w:val="32"/>
        </w:rPr>
        <w:t>万元。其中：基本支出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2144.8</w:t>
      </w:r>
      <w:r>
        <w:rPr>
          <w:rFonts w:ascii="仿宋" w:hAnsi="仿宋" w:eastAsia="仿宋" w:cs="仿宋"/>
          <w:color w:val="auto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93.5</w:t>
      </w:r>
      <w:r>
        <w:rPr>
          <w:rFonts w:ascii="仿宋" w:hAnsi="仿宋" w:eastAsia="仿宋" w:cs="仿宋"/>
          <w:color w:val="auto"/>
          <w:sz w:val="32"/>
          <w:szCs w:val="32"/>
        </w:rPr>
        <w:t>%，项目支出：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148.9</w:t>
      </w:r>
      <w:r>
        <w:rPr>
          <w:rFonts w:ascii="仿宋" w:hAnsi="仿宋" w:eastAsia="仿宋" w:cs="仿宋"/>
          <w:color w:val="auto"/>
          <w:sz w:val="32"/>
          <w:szCs w:val="32"/>
        </w:rPr>
        <w:t>万元,占18.43%。</w:t>
      </w:r>
    </w:p>
    <w:p>
      <w:pPr>
        <w:pStyle w:val="10"/>
        <w:spacing w:line="570" w:lineRule="exact"/>
        <w:ind w:firstLine="640"/>
        <w:outlineLvl w:val="0"/>
        <w:rPr>
          <w:rFonts w:ascii="Times New Roman" w:hAnsi="Times New Roman" w:eastAsia="黑体"/>
          <w:color w:val="auto"/>
          <w:sz w:val="32"/>
        </w:rPr>
      </w:pPr>
      <w:r>
        <w:rPr>
          <w:rFonts w:hint="eastAsia" w:ascii="Times New Roman" w:hAnsi="Times New Roman" w:eastAsia="黑体"/>
          <w:color w:val="auto"/>
          <w:sz w:val="32"/>
        </w:rPr>
        <w:t>二、一般公共预算支出情况</w:t>
      </w:r>
    </w:p>
    <w:p>
      <w:pPr>
        <w:pStyle w:val="10"/>
        <w:spacing w:line="570" w:lineRule="exact"/>
        <w:ind w:firstLine="640"/>
        <w:outlineLvl w:val="1"/>
        <w:rPr>
          <w:rFonts w:ascii="Times New Roman" w:hAnsi="Times New Roman" w:eastAsia="仿宋_GB2312"/>
          <w:color w:val="auto"/>
          <w:sz w:val="32"/>
        </w:rPr>
      </w:pPr>
      <w:r>
        <w:rPr>
          <w:rFonts w:hint="eastAsia" w:ascii="Times New Roman" w:hAnsi="Times New Roman" w:eastAsia="仿宋_GB2312"/>
          <w:color w:val="auto"/>
          <w:sz w:val="32"/>
        </w:rPr>
        <w:t>（一）基本支出情况</w:t>
      </w:r>
    </w:p>
    <w:p>
      <w:pPr>
        <w:autoSpaceDE w:val="0"/>
        <w:autoSpaceDN w:val="0"/>
        <w:adjustRightInd w:val="0"/>
        <w:spacing w:line="520" w:lineRule="exact"/>
        <w:ind w:firstLine="643"/>
        <w:rPr>
          <w:rFonts w:hint="default" w:ascii="仿宋" w:eastAsia="仿宋" w:cs="仿宋"/>
          <w:color w:val="auto"/>
          <w:sz w:val="32"/>
          <w:szCs w:val="32"/>
        </w:rPr>
      </w:pPr>
      <w:r>
        <w:rPr>
          <w:rFonts w:ascii="仿宋" w:eastAsia="仿宋" w:cs="仿宋"/>
          <w:color w:val="auto"/>
          <w:sz w:val="32"/>
          <w:szCs w:val="32"/>
        </w:rPr>
        <w:t>202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ascii="仿宋" w:eastAsia="仿宋" w:cs="仿宋"/>
          <w:color w:val="auto"/>
          <w:sz w:val="32"/>
          <w:szCs w:val="32"/>
        </w:rPr>
        <w:t>年年初预算为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2280.52</w:t>
      </w:r>
      <w:r>
        <w:rPr>
          <w:rFonts w:ascii="仿宋" w:eastAsia="仿宋" w:cs="仿宋"/>
          <w:color w:val="auto"/>
          <w:sz w:val="32"/>
          <w:szCs w:val="32"/>
        </w:rPr>
        <w:t>万元，其中基本支出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2144.8</w:t>
      </w:r>
      <w:r>
        <w:rPr>
          <w:rFonts w:ascii="仿宋" w:eastAsia="仿宋" w:cs="仿宋"/>
          <w:color w:val="auto"/>
          <w:sz w:val="32"/>
          <w:szCs w:val="32"/>
        </w:rPr>
        <w:t>万元，使用内容为工资福利支出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2085.66</w:t>
      </w:r>
      <w:r>
        <w:rPr>
          <w:rFonts w:ascii="仿宋" w:eastAsia="仿宋" w:cs="仿宋"/>
          <w:color w:val="auto"/>
          <w:sz w:val="32"/>
          <w:szCs w:val="32"/>
        </w:rPr>
        <w:t>万元、商品和服务支出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187.68</w:t>
      </w:r>
      <w:r>
        <w:rPr>
          <w:rFonts w:ascii="仿宋" w:eastAsia="仿宋" w:cs="仿宋"/>
          <w:color w:val="auto"/>
          <w:sz w:val="32"/>
          <w:szCs w:val="32"/>
        </w:rPr>
        <w:t>万元、对个人和家庭的补助0万元。</w:t>
      </w:r>
    </w:p>
    <w:p>
      <w:pPr>
        <w:autoSpaceDE w:val="0"/>
        <w:autoSpaceDN w:val="0"/>
        <w:adjustRightInd w:val="0"/>
        <w:spacing w:line="520" w:lineRule="exact"/>
        <w:ind w:firstLine="643"/>
        <w:rPr>
          <w:rFonts w:hint="default" w:ascii="仿宋" w:eastAsia="仿宋" w:cs="仿宋"/>
          <w:color w:val="auto"/>
          <w:sz w:val="32"/>
          <w:szCs w:val="32"/>
        </w:rPr>
      </w:pPr>
      <w:r>
        <w:rPr>
          <w:rFonts w:ascii="仿宋" w:eastAsia="仿宋" w:cs="仿宋"/>
          <w:color w:val="auto"/>
          <w:sz w:val="32"/>
          <w:szCs w:val="32"/>
        </w:rPr>
        <w:t>1.人员经费支出使用情况</w:t>
      </w:r>
    </w:p>
    <w:p>
      <w:pPr>
        <w:autoSpaceDE w:val="0"/>
        <w:autoSpaceDN w:val="0"/>
        <w:adjustRightInd w:val="0"/>
        <w:spacing w:line="520" w:lineRule="exact"/>
        <w:ind w:firstLine="643"/>
        <w:rPr>
          <w:rFonts w:hint="default" w:ascii="仿宋" w:eastAsia="仿宋" w:cs="仿宋"/>
          <w:color w:val="auto"/>
          <w:sz w:val="32"/>
          <w:szCs w:val="32"/>
        </w:rPr>
      </w:pPr>
      <w:r>
        <w:rPr>
          <w:rFonts w:ascii="仿宋" w:eastAsia="仿宋" w:cs="仿宋"/>
          <w:color w:val="auto"/>
          <w:sz w:val="32"/>
          <w:szCs w:val="32"/>
        </w:rPr>
        <w:t>人员经费支出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1991.9</w:t>
      </w:r>
      <w:r>
        <w:rPr>
          <w:rFonts w:ascii="仿宋" w:eastAsia="仿宋" w:cs="仿宋"/>
          <w:color w:val="auto"/>
          <w:sz w:val="32"/>
          <w:szCs w:val="32"/>
        </w:rPr>
        <w:t>万元，主要包括：基本工资、津贴补贴、奖金、绩效工资、机关事业单位基本养老保险、职工基本医疗保险缴费、住房公积金、其他工资福利支出。</w:t>
      </w:r>
    </w:p>
    <w:p>
      <w:pPr>
        <w:autoSpaceDE w:val="0"/>
        <w:autoSpaceDN w:val="0"/>
        <w:adjustRightInd w:val="0"/>
        <w:spacing w:line="520" w:lineRule="exact"/>
        <w:ind w:firstLine="643"/>
        <w:rPr>
          <w:rFonts w:hint="default" w:ascii="仿宋" w:eastAsia="仿宋" w:cs="仿宋"/>
          <w:color w:val="auto"/>
          <w:sz w:val="32"/>
          <w:szCs w:val="32"/>
        </w:rPr>
      </w:pPr>
      <w:r>
        <w:rPr>
          <w:rFonts w:ascii="仿宋" w:eastAsia="仿宋" w:cs="仿宋"/>
          <w:color w:val="auto"/>
          <w:sz w:val="32"/>
          <w:szCs w:val="32"/>
        </w:rPr>
        <w:t xml:space="preserve"> 2.公用经费支出使用情况</w:t>
      </w:r>
    </w:p>
    <w:p>
      <w:pPr>
        <w:autoSpaceDE w:val="0"/>
        <w:autoSpaceDN w:val="0"/>
        <w:adjustRightInd w:val="0"/>
        <w:spacing w:line="520" w:lineRule="exact"/>
        <w:ind w:firstLine="643"/>
        <w:rPr>
          <w:rFonts w:hint="default" w:ascii="仿宋" w:eastAsia="仿宋" w:cs="仿宋"/>
          <w:color w:val="auto"/>
          <w:sz w:val="32"/>
          <w:szCs w:val="32"/>
        </w:rPr>
      </w:pPr>
      <w:r>
        <w:rPr>
          <w:rFonts w:ascii="仿宋" w:eastAsia="仿宋" w:cs="仿宋"/>
          <w:color w:val="auto"/>
          <w:sz w:val="32"/>
          <w:szCs w:val="32"/>
        </w:rPr>
        <w:t>公用经费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187.68</w:t>
      </w:r>
      <w:r>
        <w:rPr>
          <w:rFonts w:ascii="仿宋" w:eastAsia="仿宋" w:cs="仿宋"/>
          <w:color w:val="auto"/>
          <w:sz w:val="32"/>
          <w:szCs w:val="32"/>
        </w:rPr>
        <w:t>万元，主要包括：办公费、印刷费、咨询费、手续费、水费、电费、邮电费、取暖费、差旅费、维修（护）费、租赁费、会议费、培训费、公务接待费、劳务费、工会经费、福利费、办公设备购置、税金及附加费用、其他资本性支出。</w:t>
      </w:r>
    </w:p>
    <w:p>
      <w:pPr>
        <w:autoSpaceDE w:val="0"/>
        <w:autoSpaceDN w:val="0"/>
        <w:adjustRightInd w:val="0"/>
        <w:spacing w:line="520" w:lineRule="exact"/>
        <w:ind w:firstLine="643"/>
        <w:rPr>
          <w:rFonts w:hint="default" w:eastAsia="仿宋_GB2312"/>
          <w:color w:val="auto"/>
          <w:sz w:val="32"/>
        </w:rPr>
      </w:pPr>
      <w:r>
        <w:rPr>
          <w:rFonts w:ascii="仿宋" w:eastAsia="仿宋" w:cs="仿宋"/>
          <w:color w:val="auto"/>
          <w:sz w:val="32"/>
          <w:szCs w:val="32"/>
        </w:rPr>
        <w:t xml:space="preserve">其中， </w:t>
      </w:r>
      <w:r>
        <w:rPr>
          <w:rFonts w:hint="default" w:ascii="仿宋" w:eastAsia="仿宋" w:cs="仿宋"/>
          <w:color w:val="auto"/>
          <w:sz w:val="32"/>
          <w:szCs w:val="32"/>
        </w:rPr>
        <w:t>“</w:t>
      </w:r>
      <w:r>
        <w:rPr>
          <w:rFonts w:ascii="仿宋" w:eastAsia="仿宋" w:cs="仿宋"/>
          <w:color w:val="auto"/>
          <w:sz w:val="32"/>
          <w:szCs w:val="32"/>
        </w:rPr>
        <w:t>三公</w:t>
      </w:r>
      <w:r>
        <w:rPr>
          <w:rFonts w:hint="default" w:ascii="仿宋" w:eastAsia="仿宋" w:cs="仿宋"/>
          <w:color w:val="auto"/>
          <w:sz w:val="32"/>
          <w:szCs w:val="32"/>
        </w:rPr>
        <w:t>”</w:t>
      </w:r>
      <w:r>
        <w:rPr>
          <w:rFonts w:ascii="仿宋" w:eastAsia="仿宋" w:cs="仿宋"/>
          <w:color w:val="auto"/>
          <w:sz w:val="32"/>
          <w:szCs w:val="32"/>
        </w:rPr>
        <w:t>经费支出情况：202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ascii="仿宋" w:eastAsia="仿宋" w:cs="仿宋"/>
          <w:color w:val="auto"/>
          <w:sz w:val="32"/>
          <w:szCs w:val="32"/>
        </w:rPr>
        <w:t>年，</w:t>
      </w:r>
      <w:r>
        <w:rPr>
          <w:rFonts w:hint="default" w:ascii="仿宋" w:eastAsia="仿宋" w:cs="仿宋"/>
          <w:color w:val="auto"/>
          <w:sz w:val="32"/>
          <w:szCs w:val="32"/>
        </w:rPr>
        <w:t>“</w:t>
      </w:r>
      <w:r>
        <w:rPr>
          <w:rFonts w:ascii="仿宋" w:eastAsia="仿宋" w:cs="仿宋"/>
          <w:color w:val="auto"/>
          <w:sz w:val="32"/>
          <w:szCs w:val="32"/>
        </w:rPr>
        <w:t>三公</w:t>
      </w:r>
      <w:r>
        <w:rPr>
          <w:rFonts w:hint="default" w:ascii="仿宋" w:eastAsia="仿宋" w:cs="仿宋"/>
          <w:color w:val="auto"/>
          <w:sz w:val="32"/>
          <w:szCs w:val="32"/>
        </w:rPr>
        <w:t>”</w:t>
      </w:r>
      <w:r>
        <w:rPr>
          <w:rFonts w:ascii="仿宋" w:eastAsia="仿宋" w:cs="仿宋"/>
          <w:color w:val="auto"/>
          <w:sz w:val="32"/>
          <w:szCs w:val="32"/>
        </w:rPr>
        <w:t>经费完成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5.6</w:t>
      </w:r>
      <w:r>
        <w:rPr>
          <w:rFonts w:ascii="仿宋" w:eastAsia="仿宋" w:cs="仿宋"/>
          <w:color w:val="auto"/>
          <w:sz w:val="32"/>
          <w:szCs w:val="32"/>
        </w:rPr>
        <w:t>万元其中</w:t>
      </w:r>
      <w:r>
        <w:rPr>
          <w:rFonts w:ascii="仿宋" w:eastAsia="仿宋" w:cs="仿宋"/>
          <w:color w:val="auto"/>
          <w:sz w:val="32"/>
          <w:szCs w:val="32"/>
          <w:lang w:val="zh-CN"/>
        </w:rPr>
        <w:t>公务接待费</w:t>
      </w:r>
      <w:r>
        <w:rPr>
          <w:rFonts w:ascii="仿宋" w:eastAsia="仿宋" w:cs="仿宋"/>
          <w:color w:val="auto"/>
          <w:sz w:val="32"/>
          <w:szCs w:val="32"/>
        </w:rPr>
        <w:t>完成</w:t>
      </w:r>
      <w:r>
        <w:rPr>
          <w:rFonts w:hint="default" w:ascii="仿宋" w:eastAsia="仿宋" w:cs="仿宋"/>
          <w:color w:val="auto"/>
          <w:sz w:val="32"/>
          <w:szCs w:val="32"/>
        </w:rPr>
        <w:t>5.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asci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eastAsia="仿宋" w:cs="仿宋"/>
          <w:color w:val="auto"/>
          <w:sz w:val="32"/>
          <w:szCs w:val="32"/>
          <w:lang w:eastAsia="zh-CN"/>
        </w:rPr>
        <w:t>比上年减少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32.02%</w:t>
      </w:r>
      <w:r>
        <w:rPr>
          <w:rFonts w:ascii="仿宋" w:eastAsia="仿宋" w:cs="仿宋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spacing w:line="570" w:lineRule="exact"/>
        <w:ind w:left="630" w:leftChars="0"/>
        <w:outlineLvl w:val="1"/>
        <w:rPr>
          <w:rFonts w:ascii="Times New Roman" w:hAnsi="Times New Roman" w:eastAsia="仿宋_GB2312"/>
          <w:color w:val="auto"/>
          <w:sz w:val="32"/>
        </w:rPr>
      </w:pP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（二）</w:t>
      </w:r>
      <w:r>
        <w:rPr>
          <w:rFonts w:hint="eastAsia" w:ascii="Times New Roman" w:hAnsi="Times New Roman" w:eastAsia="仿宋_GB2312"/>
          <w:color w:val="auto"/>
          <w:sz w:val="32"/>
        </w:rPr>
        <w:t>项目支出情况</w:t>
      </w:r>
    </w:p>
    <w:p>
      <w:pPr>
        <w:autoSpaceDE w:val="0"/>
        <w:autoSpaceDN w:val="0"/>
        <w:adjustRightInd w:val="0"/>
        <w:spacing w:line="520" w:lineRule="exact"/>
        <w:ind w:firstLine="643"/>
        <w:rPr>
          <w:rFonts w:hint="default" w:eastAsia="仿宋_GB2312"/>
          <w:color w:val="auto"/>
          <w:sz w:val="32"/>
        </w:rPr>
      </w:pPr>
      <w:r>
        <w:rPr>
          <w:rFonts w:ascii="仿宋" w:eastAsia="仿宋" w:cs="仿宋"/>
          <w:color w:val="auto"/>
          <w:sz w:val="32"/>
          <w:szCs w:val="32"/>
        </w:rPr>
        <w:t>项目支出年初预算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148.92</w:t>
      </w:r>
      <w:r>
        <w:rPr>
          <w:rFonts w:ascii="仿宋" w:eastAsia="仿宋" w:cs="仿宋"/>
          <w:color w:val="auto"/>
          <w:sz w:val="32"/>
          <w:szCs w:val="32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hint="eastAsia" w:ascii="仿宋" w:eastAsia="仿宋" w:cs="仿宋"/>
          <w:color w:val="auto"/>
          <w:sz w:val="32"/>
          <w:szCs w:val="32"/>
          <w:lang w:eastAsia="zh-CN"/>
        </w:rPr>
        <w:t>小</w:t>
      </w:r>
      <w:r>
        <w:rPr>
          <w:rFonts w:ascii="仿宋" w:eastAsia="仿宋" w:cs="仿宋"/>
          <w:color w:val="auto"/>
          <w:sz w:val="32"/>
          <w:szCs w:val="32"/>
        </w:rPr>
        <w:t>学教育支出主要用于工资福利支出、商品和服务支出、个人和家庭的补助、资本性支出（基本建设）等方面。</w:t>
      </w:r>
    </w:p>
    <w:p>
      <w:pPr>
        <w:pStyle w:val="10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color w:val="auto"/>
          <w:sz w:val="32"/>
          <w:szCs w:val="24"/>
        </w:rPr>
      </w:pPr>
      <w:r>
        <w:rPr>
          <w:rFonts w:hint="eastAsia" w:ascii="Times New Roman" w:hAnsi="Times New Roman" w:eastAsia="黑体"/>
          <w:color w:val="auto"/>
          <w:sz w:val="32"/>
          <w:szCs w:val="24"/>
        </w:rPr>
        <w:t>二、一般公共预算支出情况</w:t>
      </w:r>
    </w:p>
    <w:p>
      <w:pPr>
        <w:pStyle w:val="10"/>
        <w:spacing w:beforeLines="0" w:afterLines="0" w:line="570" w:lineRule="exact"/>
        <w:ind w:firstLine="640"/>
        <w:outlineLvl w:val="1"/>
        <w:rPr>
          <w:rFonts w:hint="default" w:ascii="Times New Roman" w:hAnsi="Times New Roman" w:eastAsia="仿宋_GB2312"/>
          <w:color w:val="auto"/>
          <w:sz w:val="32"/>
          <w:szCs w:val="24"/>
        </w:rPr>
      </w:pPr>
      <w:r>
        <w:rPr>
          <w:rFonts w:hint="eastAsia" w:ascii="Times New Roman" w:hAnsi="Times New Roman" w:eastAsia="仿宋_GB2312"/>
          <w:color w:val="auto"/>
          <w:sz w:val="32"/>
          <w:szCs w:val="24"/>
        </w:rPr>
        <w:t>（一）基本支出情况</w:t>
      </w:r>
    </w:p>
    <w:p>
      <w:pPr>
        <w:pStyle w:val="10"/>
        <w:spacing w:beforeLines="0" w:afterLines="0" w:line="570" w:lineRule="exact"/>
        <w:ind w:firstLine="640"/>
        <w:outlineLvl w:val="1"/>
        <w:rPr>
          <w:rFonts w:hint="default" w:ascii="Times New Roman" w:hAnsi="Times New Roman" w:eastAsia="仿宋_GB2312"/>
          <w:color w:val="auto"/>
          <w:sz w:val="32"/>
          <w:szCs w:val="24"/>
        </w:rPr>
      </w:pPr>
      <w:r>
        <w:rPr>
          <w:rFonts w:hint="eastAsia" w:ascii="Times New Roman" w:hAnsi="Times New Roman" w:eastAsia="仿宋_GB2312"/>
          <w:color w:val="auto"/>
          <w:sz w:val="32"/>
          <w:szCs w:val="24"/>
        </w:rPr>
        <w:t>（二）项目支出情况</w:t>
      </w:r>
    </w:p>
    <w:p>
      <w:pPr>
        <w:pStyle w:val="10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color w:val="auto"/>
          <w:sz w:val="32"/>
          <w:szCs w:val="24"/>
        </w:rPr>
      </w:pPr>
      <w:r>
        <w:rPr>
          <w:rFonts w:hint="eastAsia" w:ascii="Times New Roman" w:hAnsi="Times New Roman" w:eastAsia="黑体"/>
          <w:color w:val="auto"/>
          <w:sz w:val="32"/>
          <w:szCs w:val="24"/>
        </w:rPr>
        <w:t>三、政府性基金预算支出情况。</w:t>
      </w:r>
    </w:p>
    <w:p>
      <w:pPr>
        <w:pStyle w:val="10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auto"/>
          <w:sz w:val="32"/>
          <w:szCs w:val="24"/>
        </w:rPr>
      </w:pPr>
      <w:r>
        <w:rPr>
          <w:rFonts w:hint="eastAsia" w:ascii="Times New Roman" w:hAnsi="Times New Roman" w:eastAsia="仿宋_GB2312"/>
          <w:color w:val="auto"/>
          <w:sz w:val="32"/>
          <w:szCs w:val="24"/>
        </w:rPr>
        <w:t>我单位无政府性基金预算支出情况</w:t>
      </w:r>
    </w:p>
    <w:p>
      <w:pPr>
        <w:pStyle w:val="10"/>
        <w:numPr>
          <w:ilvl w:val="0"/>
          <w:numId w:val="2"/>
        </w:numPr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color w:val="auto"/>
          <w:sz w:val="32"/>
          <w:szCs w:val="24"/>
        </w:rPr>
      </w:pPr>
      <w:r>
        <w:rPr>
          <w:rFonts w:hint="eastAsia" w:ascii="Times New Roman" w:hAnsi="Times New Roman" w:eastAsia="黑体"/>
          <w:color w:val="auto"/>
          <w:sz w:val="32"/>
          <w:szCs w:val="24"/>
        </w:rPr>
        <w:t>国有资本经营预算支出情况。</w:t>
      </w:r>
    </w:p>
    <w:p>
      <w:pPr>
        <w:pStyle w:val="10"/>
        <w:numPr>
          <w:ilvl w:val="0"/>
          <w:numId w:val="0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ascii="Times New Roman" w:hAnsi="Times New Roman" w:eastAsia="黑体"/>
          <w:color w:val="auto"/>
          <w:sz w:val="32"/>
          <w:szCs w:val="24"/>
        </w:rPr>
      </w:pPr>
      <w:r>
        <w:rPr>
          <w:rFonts w:hint="eastAsia" w:ascii="Times New Roman" w:hAnsi="Times New Roman" w:eastAsia="仿宋_GB2312"/>
          <w:color w:val="auto"/>
          <w:sz w:val="32"/>
          <w:szCs w:val="24"/>
        </w:rPr>
        <w:t>我单位无国有资本经营预算支出情况</w:t>
      </w:r>
    </w:p>
    <w:p>
      <w:pPr>
        <w:pStyle w:val="10"/>
        <w:numPr>
          <w:ilvl w:val="0"/>
          <w:numId w:val="2"/>
        </w:numPr>
        <w:spacing w:beforeLines="0" w:afterLines="0" w:line="570" w:lineRule="exact"/>
        <w:ind w:left="0" w:leftChars="0" w:firstLine="640" w:firstLineChars="200"/>
        <w:jc w:val="left"/>
        <w:outlineLvl w:val="0"/>
        <w:rPr>
          <w:rFonts w:hint="eastAsia" w:ascii="Times New Roman" w:hAnsi="Times New Roman" w:eastAsia="黑体"/>
          <w:color w:val="auto"/>
          <w:sz w:val="32"/>
          <w:szCs w:val="24"/>
        </w:rPr>
      </w:pPr>
      <w:r>
        <w:rPr>
          <w:rFonts w:hint="eastAsia" w:ascii="Times New Roman" w:hAnsi="Times New Roman" w:eastAsia="黑体"/>
          <w:color w:val="auto"/>
          <w:sz w:val="32"/>
          <w:szCs w:val="24"/>
        </w:rPr>
        <w:t>社会保险基金预算支出情况。</w:t>
      </w:r>
    </w:p>
    <w:p>
      <w:pPr>
        <w:pStyle w:val="10"/>
        <w:numPr>
          <w:ilvl w:val="0"/>
          <w:numId w:val="0"/>
        </w:numPr>
        <w:spacing w:beforeLines="0" w:afterLines="0" w:line="570" w:lineRule="exact"/>
        <w:ind w:leftChars="200" w:firstLine="320" w:firstLineChars="100"/>
        <w:jc w:val="left"/>
        <w:outlineLvl w:val="0"/>
        <w:rPr>
          <w:rFonts w:hint="eastAsia" w:ascii="Times New Roman" w:hAnsi="Times New Roman" w:eastAsia="黑体"/>
          <w:color w:val="auto"/>
          <w:sz w:val="32"/>
          <w:szCs w:val="24"/>
        </w:rPr>
      </w:pPr>
      <w:r>
        <w:rPr>
          <w:rFonts w:hint="eastAsia" w:ascii="Times New Roman" w:hAnsi="Times New Roman" w:eastAsia="仿宋_GB2312"/>
          <w:color w:val="auto"/>
          <w:sz w:val="32"/>
          <w:szCs w:val="24"/>
        </w:rPr>
        <w:t>我单位无社会保险基金预算支出情况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eastAsia" w:eastAsia="黑体"/>
          <w:color w:val="auto"/>
          <w:sz w:val="32"/>
          <w:szCs w:val="24"/>
        </w:rPr>
      </w:pPr>
      <w:r>
        <w:rPr>
          <w:rFonts w:hint="eastAsia" w:eastAsia="黑体"/>
          <w:color w:val="auto"/>
          <w:sz w:val="32"/>
          <w:szCs w:val="24"/>
        </w:rPr>
        <w:t>六、部门整体支出绩效情况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color w:val="auto"/>
          <w:kern w:val="0"/>
          <w:sz w:val="32"/>
          <w:szCs w:val="32"/>
          <w:lang w:val="en-US" w:eastAsia="zh-CN" w:bidi="ar-SA"/>
        </w:rPr>
        <w:t>2023年，根据年初工作规划和重点性工作，围绕县委、县政府全面建成小康社会的发展蓝图，积极履职，强化管理，较好的完成了年度工作目标。通过加强预算收支管理，不断建立健全内部管理制度，梳理内部管理流程，部门整体支出管理情况得到提升。根据2023年度部门整体支出状况的概述和分析，部门整体支出绩</w:t>
      </w:r>
      <w:bookmarkStart w:id="0" w:name="_GoBack"/>
      <w:bookmarkEnd w:id="0"/>
      <w:r>
        <w:rPr>
          <w:rFonts w:hint="eastAsia" w:ascii="仿宋" w:hAnsi="Times New Roman" w:eastAsia="仿宋" w:cs="仿宋"/>
          <w:color w:val="auto"/>
          <w:kern w:val="0"/>
          <w:sz w:val="32"/>
          <w:szCs w:val="32"/>
          <w:lang w:val="en-US" w:eastAsia="zh-CN" w:bidi="ar-SA"/>
        </w:rPr>
        <w:t>效情况如下：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color w:val="auto"/>
          <w:kern w:val="0"/>
          <w:sz w:val="32"/>
          <w:szCs w:val="32"/>
          <w:lang w:val="en-US" w:eastAsia="zh-CN" w:bidi="ar-SA"/>
        </w:rPr>
        <w:t>（一）经济效益评价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color w:val="auto"/>
          <w:kern w:val="0"/>
          <w:sz w:val="32"/>
          <w:szCs w:val="32"/>
          <w:lang w:val="en-US" w:eastAsia="zh-CN" w:bidi="ar-SA"/>
        </w:rPr>
        <w:t>1. 本年预算配置控制较好。财政供养人员控制在预算编制以内，编制内在职人员控制率小于100%；“三公”经费预算总额较上年有所下降，主要原因：根据上级政策，厉行节约。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color w:val="auto"/>
          <w:kern w:val="0"/>
          <w:sz w:val="32"/>
          <w:szCs w:val="32"/>
          <w:lang w:val="en-US" w:eastAsia="zh-CN" w:bidi="ar-SA"/>
        </w:rPr>
        <w:t>2. 预算执行方面。支出总额超过预算总额以内，本年部门预算进行预算相关事项的调整主要原因是人员增加，开支增多。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color w:val="auto"/>
          <w:kern w:val="0"/>
          <w:sz w:val="32"/>
          <w:szCs w:val="32"/>
          <w:lang w:val="en-US" w:eastAsia="zh-CN" w:bidi="ar-SA"/>
        </w:rPr>
        <w:t>预算管理方面，制度执行总体较为有效，仍需进一步强化；资金使用管理需进一步加强。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color w:val="auto"/>
          <w:kern w:val="0"/>
          <w:sz w:val="32"/>
          <w:szCs w:val="32"/>
          <w:lang w:val="en-US" w:eastAsia="zh-CN" w:bidi="ar-SA"/>
        </w:rPr>
        <w:t>资产管理方面，建立了资产管理制度，定期进行了盘点和资产清理，总体执行较好。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leftChars="0" w:firstLine="640" w:firstLineChars="200"/>
        <w:jc w:val="both"/>
        <w:rPr>
          <w:rFonts w:hint="eastAsia" w:ascii="仿宋" w:hAnsi="Times New Roman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color w:val="auto"/>
          <w:kern w:val="0"/>
          <w:sz w:val="32"/>
          <w:szCs w:val="32"/>
          <w:lang w:val="en-US" w:eastAsia="zh-CN" w:bidi="ar-SA"/>
        </w:rPr>
        <w:t>效率性评价和有效性评价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Times New Roman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Times New Roman" w:eastAsia="仿宋" w:cs="仿宋"/>
          <w:color w:val="auto"/>
          <w:kern w:val="0"/>
          <w:sz w:val="32"/>
          <w:szCs w:val="32"/>
          <w:lang w:val="en-US" w:eastAsia="zh-CN" w:bidi="ar-SA"/>
        </w:rPr>
        <w:t>我校预算安排的基本支出保障了我校正常的工作运转，体现了县教育局对小学的关心和重视，我校在执行上是严格遵守各项财经纪律的，在资金的使用上也是放心的。我校在资金的管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  <w:t>理和使用上，严守法律底线、纪律底线、道德底线。</w:t>
      </w:r>
    </w:p>
    <w:p>
      <w:pPr>
        <w:spacing w:beforeLines="0" w:afterLines="0" w:line="570" w:lineRule="exact"/>
        <w:ind w:firstLine="645"/>
        <w:jc w:val="both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我校预算安排的基本支出保障了我校正常的工作运转，体现了县教育局对小学的关心和重视，我校在执行上是严格遵守各项财</w:t>
      </w:r>
      <w:r>
        <w:rPr>
          <w:rFonts w:hint="eastAsia" w:eastAsia="仿宋_GB2312"/>
          <w:color w:val="auto"/>
          <w:sz w:val="32"/>
          <w:szCs w:val="24"/>
          <w:lang w:eastAsia="zh-CN"/>
        </w:rPr>
        <w:t>政</w:t>
      </w:r>
      <w:r>
        <w:rPr>
          <w:rFonts w:hint="eastAsia" w:eastAsia="仿宋_GB2312"/>
          <w:color w:val="auto"/>
          <w:sz w:val="32"/>
          <w:szCs w:val="24"/>
        </w:rPr>
        <w:t>纪律的，在资金的使用上也是放心的。我校在资金的管理和使用上，严守法律底线、纪律底线、道德底线。</w:t>
      </w:r>
    </w:p>
    <w:p>
      <w:pPr>
        <w:spacing w:beforeLines="0" w:afterLines="0" w:line="570" w:lineRule="exact"/>
        <w:ind w:firstLine="645"/>
        <w:jc w:val="both"/>
        <w:rPr>
          <w:rFonts w:hint="default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总结归纳本部门（单位）“四本预算”支出的绩效目标完成情况，实现产出和取得效益的情况。围绕部门（单位）职责、行业发展规划，以预算资金管理为主线，总结部门（单位）资产管理和开展业务情况，从运行成本、管理效率、履职效能、社会效应、可持续发展能力和服务对象满意度等方面，衡量部门（单位）整体及核心业务实施效果。</w:t>
      </w:r>
    </w:p>
    <w:p>
      <w:pPr>
        <w:pStyle w:val="5"/>
        <w:widowControl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Times New Roman" w:hAnsi="Times New Roman" w:eastAsia="黑体"/>
          <w:color w:val="auto"/>
          <w:sz w:val="32"/>
          <w:szCs w:val="24"/>
        </w:rPr>
      </w:pPr>
      <w:r>
        <w:rPr>
          <w:rFonts w:hint="eastAsia" w:ascii="Times New Roman" w:hAnsi="Times New Roman" w:eastAsia="黑体"/>
          <w:color w:val="auto"/>
          <w:sz w:val="32"/>
          <w:szCs w:val="24"/>
        </w:rPr>
        <w:t>存在的问题及原因分析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  <w:t>存在的问题: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  <w:t>1、支出责任制度不够完善。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  <w:t>2、单位内部业务处室与财务配合不紧密。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  <w:t>3、初预算编制精细化不够。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  <w:t>改进措施：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  <w:t>1、进一步完善预算支出责任制度。将责任落实到岗，任务落实到人。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  <w:t>2、各部门应按照年初预算具体分解情况进行合理支出。定期对预算执行缓慢的处室进行通报，并要求其出具书面说明、及时提出改进措施。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  <w:t>3、深化预算执行率与预算编制有机结合。将上一年预算执行情况作为下一年预算编制的重要依据，对预算执行缓慢的部门，严格控制其下一年预算资金。</w:t>
      </w:r>
    </w:p>
    <w:p>
      <w:pPr>
        <w:numPr>
          <w:ilvl w:val="0"/>
          <w:numId w:val="4"/>
        </w:numPr>
        <w:spacing w:beforeLines="0" w:afterLines="0" w:line="570" w:lineRule="exact"/>
        <w:ind w:left="0" w:leftChars="0" w:firstLine="705" w:firstLineChars="0"/>
        <w:jc w:val="left"/>
        <w:outlineLvl w:val="0"/>
        <w:rPr>
          <w:rFonts w:hint="eastAsia" w:eastAsia="黑体"/>
          <w:color w:val="auto"/>
          <w:sz w:val="32"/>
          <w:szCs w:val="24"/>
        </w:rPr>
      </w:pPr>
      <w:r>
        <w:rPr>
          <w:rFonts w:hint="eastAsia" w:eastAsia="黑体"/>
          <w:color w:val="auto"/>
          <w:sz w:val="32"/>
          <w:szCs w:val="24"/>
        </w:rPr>
        <w:t>下一步改进措施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color w:val="auto"/>
          <w:kern w:val="0"/>
          <w:sz w:val="32"/>
          <w:szCs w:val="32"/>
          <w:lang w:val="en-US" w:eastAsia="zh-CN" w:bidi="ar-SA"/>
        </w:rPr>
        <w:t>1.细化预算编制工作，认真做好预算的编制。进一步加强内部机构各股室的预算管理意识，严格按照预算编制的相关制度和要求进行预算编制；全面编制预算项目，进一步提高预算编制的科学性、严谨性和可控性。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color w:val="auto"/>
          <w:kern w:val="0"/>
          <w:sz w:val="32"/>
          <w:szCs w:val="32"/>
          <w:lang w:val="en-US" w:eastAsia="zh-CN" w:bidi="ar-SA"/>
        </w:rPr>
        <w:t>2.加强财务管理，严格财务审核。在费用报账支付时，按照预算规定的费用项目和用途进行资金使用审核、列报支付、财务核算，杜绝超支现象的发生。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default"/>
        </w:rPr>
      </w:pPr>
      <w:r>
        <w:rPr>
          <w:rFonts w:hint="eastAsia" w:ascii="仿宋" w:hAnsi="Times New Roman" w:eastAsia="仿宋" w:cs="仿宋"/>
          <w:color w:val="auto"/>
          <w:kern w:val="0"/>
          <w:sz w:val="32"/>
          <w:szCs w:val="32"/>
          <w:lang w:val="en-US" w:eastAsia="zh-CN" w:bidi="ar-SA"/>
        </w:rPr>
        <w:t>3.持续抓好“三公”经费控制管理。严格控制“三公”经</w:t>
      </w: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费的规模和比例，把关“三公”经费支出的审核、审批，杜绝挪用和挤占其他预算资金行为；进一步细化“三公”经费的管理，合理压缩“三公”经费支出。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beforeLines="0" w:afterLines="0" w:line="570" w:lineRule="exact"/>
        <w:ind w:firstLine="645"/>
        <w:jc w:val="left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/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eYE8n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d60o/sQBAABw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79D81F"/>
    <w:multiLevelType w:val="singleLevel"/>
    <w:tmpl w:val="DA79D81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8553CD"/>
    <w:multiLevelType w:val="singleLevel"/>
    <w:tmpl w:val="468553C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3">
    <w:nsid w:val="7EAF98EB"/>
    <w:multiLevelType w:val="singleLevel"/>
    <w:tmpl w:val="7EAF98E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ZTgwYTQ5ODg0YWIyNWU3ZjZhYTgyMDgyYTZlNjYifQ=="/>
  </w:docVars>
  <w:rsids>
    <w:rsidRoot w:val="00172A27"/>
    <w:rsid w:val="040F793C"/>
    <w:rsid w:val="0C644FA4"/>
    <w:rsid w:val="0CCE5073"/>
    <w:rsid w:val="0DA40B84"/>
    <w:rsid w:val="101F3C57"/>
    <w:rsid w:val="105E064F"/>
    <w:rsid w:val="11A724B2"/>
    <w:rsid w:val="154B3473"/>
    <w:rsid w:val="15B02F86"/>
    <w:rsid w:val="1BCE59A7"/>
    <w:rsid w:val="1D5E5630"/>
    <w:rsid w:val="1F9C1D8C"/>
    <w:rsid w:val="20BA3D5C"/>
    <w:rsid w:val="20FE29CD"/>
    <w:rsid w:val="213827F6"/>
    <w:rsid w:val="24756501"/>
    <w:rsid w:val="2AF82401"/>
    <w:rsid w:val="2C5E7C1C"/>
    <w:rsid w:val="2CDB2554"/>
    <w:rsid w:val="31EF3498"/>
    <w:rsid w:val="33457B5A"/>
    <w:rsid w:val="33EA0D37"/>
    <w:rsid w:val="39955831"/>
    <w:rsid w:val="3DF03786"/>
    <w:rsid w:val="3DFB432B"/>
    <w:rsid w:val="41A60F90"/>
    <w:rsid w:val="437042B4"/>
    <w:rsid w:val="43D25C86"/>
    <w:rsid w:val="46A71AA9"/>
    <w:rsid w:val="47FF7E2A"/>
    <w:rsid w:val="4A7E5437"/>
    <w:rsid w:val="4B490F32"/>
    <w:rsid w:val="4B564457"/>
    <w:rsid w:val="4C575977"/>
    <w:rsid w:val="4C8B40D3"/>
    <w:rsid w:val="4DF30F3A"/>
    <w:rsid w:val="4E8B7C40"/>
    <w:rsid w:val="4F1637A4"/>
    <w:rsid w:val="500F1BD2"/>
    <w:rsid w:val="50107A9A"/>
    <w:rsid w:val="51C40746"/>
    <w:rsid w:val="543E6CC0"/>
    <w:rsid w:val="54B40422"/>
    <w:rsid w:val="55412274"/>
    <w:rsid w:val="55C03679"/>
    <w:rsid w:val="57C446E9"/>
    <w:rsid w:val="58820FB8"/>
    <w:rsid w:val="5A4D2A29"/>
    <w:rsid w:val="5ABA52A9"/>
    <w:rsid w:val="5C8E01AF"/>
    <w:rsid w:val="61BB75E5"/>
    <w:rsid w:val="62BE6D8B"/>
    <w:rsid w:val="64E742EF"/>
    <w:rsid w:val="684B0AD7"/>
    <w:rsid w:val="6C6F50D8"/>
    <w:rsid w:val="6E351362"/>
    <w:rsid w:val="75073918"/>
    <w:rsid w:val="771A18F7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楷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6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customStyle="1" w:styleId="9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0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  <w:style w:type="character" w:customStyle="1" w:styleId="11">
    <w:name w:val="标题 3 Char"/>
    <w:link w:val="2"/>
    <w:qFormat/>
    <w:uiPriority w:val="0"/>
    <w:rPr>
      <w:rFonts w:ascii="Times New Roman" w:hAnsi="Times New Roman" w:eastAsia="楷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7372</Words>
  <Characters>7897</Characters>
  <Lines>0</Lines>
  <Paragraphs>0</Paragraphs>
  <TotalTime>29</TotalTime>
  <ScaleCrop>false</ScaleCrop>
  <LinksUpToDate>false</LinksUpToDate>
  <CharactersWithSpaces>8462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dcterms:modified xsi:type="dcterms:W3CDTF">2024-12-09T12:14:42Z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DEAE57B98B9F48CB81167B4D3D699056_13</vt:lpwstr>
  </property>
</Properties>
</file>