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双牌职业技术学校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both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jc w:val="left"/>
        <w:rPr>
          <w:rFonts w:hint="eastAsia" w:eastAsia="仿宋_GB2312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jc w:val="left"/>
        <w:rPr>
          <w:rFonts w:hint="eastAsia" w:eastAsia="仿宋_GB2312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jc w:val="lef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lang w:val="en-US" w:eastAsia="zh-CN"/>
        </w:rPr>
        <w:t xml:space="preserve"> 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双牌职业技术学校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 xml:space="preserve">2024  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 xml:space="preserve"> 5  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 xml:space="preserve"> 24 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双牌县职业技术始创于 1983 年，原名双牌县林业职业中专，属全额拨款正科级事业单位，双牌唯一一所公办中职学校，目前承担全县中等职业教育、全县社会劳动力培训办学功能，校园总面积 73848.48 平方米，校舍总面积 33188.6平方米，固定资产总值 3,442.08 万元。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社会统一信用代码：124311237656056186，行政级别：正科级，内部机构代码：02教科文股，国民经经济行业分类：P8391职业技能培训，单位负责人：盘先瑞，单位地址：双牌县泷泊镇长青路1号，单位经费保障方式：全额，部门标志：360教育部。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职能职责</w:t>
      </w:r>
    </w:p>
    <w:p>
      <w:pPr>
        <w:pStyle w:val="2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实施普高和职高学历教育；实施社会职业培训；实施中小学教师学历和业务培训；实施高三复读培训。</w:t>
      </w:r>
    </w:p>
    <w:p>
      <w:pPr>
        <w:pStyle w:val="2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机构编制</w:t>
      </w:r>
    </w:p>
    <w:p>
      <w:pPr>
        <w:spacing w:before="30"/>
        <w:ind w:left="5" w:firstLine="644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双牌县职业技术学校2023年末由114位在职在岗全额事业编缉人员构成，单位内设如下股室：学校办公室，教务处，政工处，招生就业处，总务室，财务室，团委办公室，工会办公室等处室。</w:t>
      </w:r>
    </w:p>
    <w:p>
      <w:pPr>
        <w:pStyle w:val="2"/>
        <w:rPr>
          <w:rFonts w:hint="eastAsia" w:ascii="仿宋_GB2312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4"/>
        </w:rPr>
        <w:t>人员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构成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en-US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学生情况: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年招收中职一年级新生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561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 人，较上年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减少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74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人，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降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幅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23.67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%，生源主要来自本县各乡镇场和周边县区；在校学生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1646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 人，较上年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减6.95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%；毕业生规模 498 人，净增人 6，较上年增幅 1.22%，就业率 98.45%，较上年增 0.10%；全年学生巩固率 9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6.7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6%，增幅 1.0%。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教师队伍：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现有教师 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29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人，师生比为 1: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12.66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，中职专任教师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110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人，其中专业课教师 60 人，占专任教师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54.55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%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“双师型”教师 30 人，占专业课教师比例达到 50.00%；专任教师中研究生学历 7 人，本科学历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103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 人，学历达标率 100%；外聘企业技师教师 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 xml:space="preserve"> 人，均具有技师以上职业资格或中级技术职称。202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年引进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11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人，调入教师 2 人，师资力量得到进一步充实，师资结构不断优化、师资水平较有提高。</w:t>
      </w: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部门整体支出规模</w:t>
      </w:r>
    </w:p>
    <w:p>
      <w:pPr>
        <w:pStyle w:val="2"/>
        <w:ind w:left="0" w:leftChars="0" w:firstLine="320" w:firstLineChars="100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Times New Roman" w:eastAsia="仿宋_GB2312"/>
          <w:sz w:val="32"/>
          <w:szCs w:val="24"/>
        </w:rPr>
        <w:t>部门整体支出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情况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年度支出合计2681.53万元，其中：基本支出1504.76万元，占56.12%；项目支出1176.77万元，占43.88%；上缴上级支出0万元，占0%；经营支出0万元，占0%；对附属单位补助支出0万元，占0%。</w:t>
      </w:r>
    </w:p>
    <w:p>
      <w:pPr>
        <w:pStyle w:val="2"/>
        <w:ind w:left="0" w:leftChars="0" w:firstLine="320" w:firstLineChars="100"/>
        <w:rPr>
          <w:rFonts w:hint="eastAsia" w:ascii="仿宋_GB2312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2.部门预算收支决算情况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本单位收入、支出年预算安排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3419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.82，其中：基本支出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1331.82万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元，项目支出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2088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元。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en-US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年度收入合计2681.53万元，其中：财政拨款收入2681.53 万元，占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100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%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；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上级补助收入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万元，占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%；事业收入0万元 ，占0%；经营收入0万元，占0%；附属单位上缴收入0万元，占0%；其他收入0万元，占0%。</w:t>
      </w:r>
    </w:p>
    <w:p>
      <w:pPr>
        <w:pStyle w:val="2"/>
        <w:numPr>
          <w:ilvl w:val="0"/>
          <w:numId w:val="3"/>
        </w:numPr>
        <w:ind w:left="0" w:leftChars="0" w:firstLine="320" w:firstLineChars="100"/>
        <w:rPr>
          <w:rFonts w:hint="eastAsia" w:ascii="仿宋_GB2312" w:hAnsi="Times New Roman" w:eastAsia="仿宋_GB231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“三公经费”支出使用和管理情况。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en-US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2023年度“三公”经费财政拨款支出决算中，公务接待费支出决算6.68万元，占100.00%，因公出国（境）费支出决算0万元，占0%，公务用车购置费及运行维护费支出决算0万元，占0%。其中：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en-US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因公出国(境)费支出决算为0万元，全年安排因公出国(境 )团组0个，累计0人次，我单位202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年度无因公出国(境)费支出。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en-US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公务接待费支出决算为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68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万元，全年共接待来访团组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52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个 、来宾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430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人次，主要是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上级领导来我校检查发生的接待支出。</w:t>
      </w:r>
    </w:p>
    <w:p>
      <w:pPr>
        <w:numPr>
          <w:ilvl w:val="0"/>
          <w:numId w:val="0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24"/>
          <w:lang w:val="en-US" w:eastAsia="en-US"/>
        </w:rPr>
      </w:pP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公务用车购置费及运行维护费支出决算为0万元，其中：公务 用车购置费0万元。公务用车运行维护费0万元，截至202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年12月31日 ，我单位开支财政拨款的公务用车保有量为0辆。我单位202</w:t>
      </w:r>
      <w:r>
        <w:rPr>
          <w:rFonts w:hint="eastAsia" w:ascii="仿宋_GB2312" w:hAnsi="Times New Roman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年度无公务用车购置费及运行维护费支出。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>
      <w:pPr>
        <w:pStyle w:val="11"/>
        <w:spacing w:line="600" w:lineRule="exact"/>
        <w:ind w:firstLine="640"/>
        <w:rPr>
          <w:rFonts w:hint="default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202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年度我校全年收入总计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2681.53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万元，其中：本年收入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2681.53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万元，年初结转和结余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0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万元。全年完成实际支出</w:t>
      </w:r>
      <w:r>
        <w:rPr>
          <w:rFonts w:hint="eastAsia" w:ascii="仿宋_GB2312" w:hAnsi="Times New Roman" w:eastAsia="仿宋_GB2312"/>
          <w:sz w:val="32"/>
          <w:szCs w:val="24"/>
          <w:lang w:val="en-US" w:eastAsia="en-US"/>
        </w:rPr>
        <w:t>2681.53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万元，其中，基本支出1504.76万元，项目支出1176.77万元。</w:t>
      </w:r>
    </w:p>
    <w:p>
      <w:pPr>
        <w:pStyle w:val="12"/>
        <w:numPr>
          <w:ilvl w:val="0"/>
          <w:numId w:val="4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基本支出情况</w:t>
      </w:r>
    </w:p>
    <w:p>
      <w:pPr>
        <w:pStyle w:val="11"/>
        <w:spacing w:line="600" w:lineRule="exact"/>
        <w:ind w:firstLine="640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基本支出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1504.76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万元，占总支出的比重为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56.12%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。其中教育基本支出2362万元，社会保障和就业支出130.5万元，卫生健康支出70.96万元，住房保障支出97.88万元。</w:t>
      </w:r>
    </w:p>
    <w:p>
      <w:pPr>
        <w:pStyle w:val="11"/>
        <w:spacing w:line="600" w:lineRule="exact"/>
        <w:ind w:firstLine="64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202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年部门“三公”经费决算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6.68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万元，其中：公务接待费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6.68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万元。</w:t>
      </w:r>
    </w:p>
    <w:p>
      <w:pPr>
        <w:pStyle w:val="12"/>
        <w:numPr>
          <w:ilvl w:val="0"/>
          <w:numId w:val="4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ind w:firstLine="640" w:firstLineChars="200"/>
        <w:rPr>
          <w:rFonts w:hint="default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en-US" w:bidi="ar-SA"/>
        </w:rPr>
        <w:t>项目支出1176.77万元，占总支出的比重为43.88%，全部为教育支出。</w:t>
      </w: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“我单位无政府性基金预算支出情况”</w:t>
      </w: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“我单位无国有资本经营预算支出情况”</w:t>
      </w:r>
    </w:p>
    <w:p>
      <w:pPr>
        <w:pStyle w:val="12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2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“我单位无社会保险基金预算支出情况”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ind w:firstLine="640" w:firstLineChars="200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根据《部门整体支出绩效评价指标》评分，得分9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4.5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分（详见附件3：部门整体支出绩效自评表）。主要绩效如下：</w:t>
      </w:r>
    </w:p>
    <w:p>
      <w:pPr>
        <w:ind w:firstLine="640" w:firstLineChars="200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从经济性情况分析看，预算资金覆盖各个需求方面，“三公”经费预算没有超过上年预算安排。202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年预算资金能保障单位正常运转需要，分配办法科学，考虑的因素必要合理，分配的结果合理，能保证学校正常运转和项目建设有序推进。</w:t>
      </w:r>
    </w:p>
    <w:p>
      <w:pPr>
        <w:ind w:firstLine="640" w:firstLineChars="200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从效率性情况分析看，在各项工作费用支出中，尤其是干部职工的医疗保险、工伤保险、福利费、工会经费等人员经费支出能及时按进度保质保量完成。预算公用经费基本拨付到位，预算完成率和预算控制率较好。</w:t>
      </w:r>
    </w:p>
    <w:p>
      <w:pPr>
        <w:ind w:firstLine="640" w:firstLineChars="200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从有效性情况分析看，为了给学生营造良好的教学环境，需保证教学活动、项目建设和后勤服务的支出，使学校的各项目工作正常运转，全面整合职能和资积较大，工作综合性强，需加大人力、资金投入。</w:t>
      </w:r>
    </w:p>
    <w:p>
      <w:pPr>
        <w:pStyle w:val="12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1、时效性不够，预算执行率有待提高。由于预算项目未实施或未及时报账导致年末预算资金未形成支出。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2、预算编制不够明确和细化，存在随意性。预算执行力度还要进一步加强，资金使用效益有待进一步提高。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3、财务人员自身专业知识水平需要加强。多高校政府采购预算编制人员为兼职，一人多岗现象较为普遍，且很多未经过专业的学习培训，缺乏相关的政府采购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instrText xml:space="preserve"> HYPERLINK "http://lilun.caigou2003.com/" \t "_blank" </w:instrTex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理论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基础。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1、加强财务管理，规范单位财务行为。在费用报账支付时，按照预算规定的费用项目和用途进行资金使用审核、财务严格核算，杜绝超支现象的发生。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2、细化预算编制工作，提高预算编制的准确性、合理性。进一步加强内设机构的预算管理意识，严格按照预算编制的相关制度和要求进行预算编制。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 xml:space="preserve"> 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default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4、强化财务专业知识学习，提升专业素养。对相关人员加强培训，特别是针对《预算法》、《行政事业单位会计制度》等学习培训，规范部门预算收支核算，切实提高部门预算收支管理水平。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rPr>
          <w:rFonts w:hint="default"/>
        </w:rPr>
      </w:pPr>
    </w:p>
    <w:p>
      <w:pPr>
        <w:numPr>
          <w:ilvl w:val="0"/>
          <w:numId w:val="5"/>
        </w:num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部门整体支出绩效自评结果拟应用和公开情况</w:t>
      </w:r>
    </w:p>
    <w:p>
      <w:pPr>
        <w:spacing w:line="600" w:lineRule="exact"/>
        <w:ind w:firstLine="640" w:firstLineChars="200"/>
        <w:rPr>
          <w:rFonts w:hint="default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根据部门整体支出绩效评价指标体系，我单位202</w:t>
      </w:r>
      <w:r>
        <w:rPr>
          <w:rFonts w:hint="eastAsia" w:eastAsia="仿宋_GB2312" w:cstheme="minorBidi"/>
          <w:color w:val="000000"/>
          <w:kern w:val="0"/>
          <w:sz w:val="32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年度评价得分为9</w:t>
      </w:r>
      <w:r>
        <w:rPr>
          <w:rFonts w:hint="eastAsia" w:eastAsia="仿宋_GB2312" w:cstheme="minorBidi"/>
          <w:color w:val="000000"/>
          <w:kern w:val="0"/>
          <w:sz w:val="32"/>
          <w:szCs w:val="24"/>
          <w:lang w:val="en-US" w:eastAsia="zh-CN" w:bidi="ar-SA"/>
        </w:rPr>
        <w:t>4.5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24"/>
          <w:lang w:val="en-US" w:eastAsia="zh-CN" w:bidi="ar-SA"/>
        </w:rPr>
        <w:t>分。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 w:eastAsia="黑体"/>
          <w:sz w:val="32"/>
          <w:szCs w:val="24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9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项目支出：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1326.68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1923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1176.77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1、业务工作经费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2、运行维护经费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3、本级专项资金（一个专项一行）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1326.68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1923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1176.77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公用经费：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45.75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160.61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49.73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181.49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压缩一般性支出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唐秋艳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17774664906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蒋宏文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9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1045"/>
        <w:gridCol w:w="1031"/>
        <w:gridCol w:w="283"/>
        <w:gridCol w:w="957"/>
        <w:gridCol w:w="1512"/>
        <w:gridCol w:w="646"/>
        <w:gridCol w:w="681"/>
        <w:gridCol w:w="1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双牌县职业技术学校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2747.89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3419.82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2557.54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74.79%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：2557.54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2557.54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3428.02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1545.12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19.1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1012.41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265.82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517.14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完成年初制定的教学和教研工作目标；完成对学生的安全教育工作；完成学校专项维修改造工程；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完成预期目标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中职学校培训学科数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≥6科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≥6科</w:t>
            </w:r>
          </w:p>
        </w:tc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组织人员参加教育学习活动人数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102人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102人</w:t>
            </w:r>
          </w:p>
        </w:tc>
        <w:tc>
          <w:tcPr>
            <w:tcW w:w="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学考合格率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资金到位率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资金拨付时间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12月31日前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12月31日前</w:t>
            </w:r>
          </w:p>
        </w:tc>
        <w:tc>
          <w:tcPr>
            <w:tcW w:w="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教师业务能力获奖人数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社会认可度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学生及家长满意度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保持职业教育水平发展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400人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400人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生态效益指标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创建和谐的师生教育教学环境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家长满意度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师生满意度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04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经济成本指标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不超额支出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3419.82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2557.54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73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94.5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唐秋艳</w:t>
      </w:r>
      <w:r>
        <w:rPr>
          <w:rFonts w:hint="eastAsia" w:eastAsia="仿宋_GB2312"/>
          <w:sz w:val="22"/>
          <w:szCs w:val="24"/>
        </w:rPr>
        <w:t xml:space="preserve"> 填报日期：</w:t>
      </w:r>
      <w:bookmarkStart w:id="0" w:name="_GoBack"/>
      <w:bookmarkEnd w:id="0"/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17264581552</w:t>
      </w:r>
      <w:r>
        <w:rPr>
          <w:rFonts w:hint="eastAsia" w:eastAsia="仿宋_GB2312"/>
          <w:sz w:val="22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蒋宏文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233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2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奖助学金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6.94万元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实施精准扶贫，帮助家庭经济困难学生顺利入学、顺利完成学业、顺利就业。杜绝因学致贫、因学返贫现象的发生，为脱贫攻坚奠定良好基础。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专项资金管理方面，严格按照上级文件精神执行，对项目建设资金实行集中支付和报账制，实行专户专账管理，严禁挪用、侵占、虚列开支等，做到账目清楚，确保资金使用安全。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绩效目标设立不合理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规范项目目标的设立，根据实际项目下达的指标金额进行调整。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唐秋艳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2024.5.24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17774664906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蒋宏文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9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中职奖助学金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双牌县职业技术学校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基本完成项目建设，并通过质量验收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其他附属设施待完成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益人数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验收合格率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完成及时性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受益贫困群众人数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69户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优化教育资源，带动社会效益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sz w:val="22"/>
          <w:szCs w:val="24"/>
          <w:lang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唐秋艳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17774664906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蒋宏文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233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2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</w:rPr>
              <w:t>中职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eastAsia="zh-CN"/>
              </w:rPr>
              <w:t>免学费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全面提升教师的综合素质，包括教学能力、科研能力和师德师风；提高学校行政机构的工作效率和服务质量，确保资源合理分配和高校利用。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专项资金管理方面，严格按照上级文件精神执行，对项目建设资金实行集中支付和报账制，实行专户专账管理，严禁挪用、侵占、虚列开支等，做到账目清楚，确保资金使用安全。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绩效目标设立不合理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规范项目目标的设立，根据实际项目下达的指标金额进行调整。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唐秋艳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2024.5.24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17774664906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蒋宏文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9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中职免学费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双牌县职业技术学校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070000" w:fill="FFFFFF"/>
                <w:lang w:val="en-US" w:eastAsia="zh-CN"/>
              </w:rPr>
              <w:t>42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基本完成项目建设，并通过质量验收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其他附属设施待完成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教师培训人数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教师培训合格率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教师培训及时率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社会认可度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提升教师的教学质量、教学水平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优化教育资源，带动社会效益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sz w:val="22"/>
          <w:szCs w:val="24"/>
          <w:lang w:eastAsia="zh-CN"/>
        </w:rPr>
        <w:sectPr>
          <w:footerReference r:id="rId5" w:type="default"/>
          <w:footerReference r:id="rId6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唐秋艳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17774664906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蒋宏文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双牌职业技术学校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9"/>
        <w:tblW w:w="8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3"/>
        <w:gridCol w:w="153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财务主管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13135271977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唐秋艳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17774664906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ind w:right="360" w:firstLine="360"/>
      <w:jc w:val="left"/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</w:pPr>
    <w:r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Times New Roman" w:hAnsi="Times New Roman" w:eastAsia="Times New Roman" w:cstheme="minorBidi"/>
                              <w:kern w:val="0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Times New Roman" w:hAnsi="Times New Roman" w:eastAsia="Times New Roman" w:cstheme="minorBidi"/>
                        <w:kern w:val="0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ind w:right="360" w:firstLine="360"/>
      <w:jc w:val="left"/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</w:pPr>
    <w:r>
      <w:rPr>
        <w:rFonts w:hint="default" w:ascii="Times New Roman" w:hAnsi="Times New Roman" w:eastAsia="Times New Roman" w:cstheme="minorBidi"/>
        <w:kern w:val="0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Times New Roman" w:hAnsi="Times New Roman" w:eastAsia="Times New Roman" w:cstheme="minorBidi"/>
                              <w:kern w:val="0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Times New Roman" w:cs="宋体"/>
                              <w:ker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Times New Roman" w:hAnsi="Times New Roman" w:eastAsia="Times New Roman" w:cstheme="minorBidi"/>
                        <w:kern w:val="0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Times New Roman" w:cs="宋体"/>
                        <w:kern w:val="0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E936E"/>
    <w:multiLevelType w:val="singleLevel"/>
    <w:tmpl w:val="826E936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1C595A"/>
    <w:multiLevelType w:val="singleLevel"/>
    <w:tmpl w:val="921C59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6E5A06A"/>
    <w:multiLevelType w:val="singleLevel"/>
    <w:tmpl w:val="D6E5A06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6E1BF6BD"/>
    <w:multiLevelType w:val="singleLevel"/>
    <w:tmpl w:val="6E1BF6B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ZmFiOTBlNWIwNDJhNmVkNGJhMWFhOGUzZGZhY2IifQ=="/>
  </w:docVars>
  <w:rsids>
    <w:rsidRoot w:val="00172A27"/>
    <w:rsid w:val="09ED6AE9"/>
    <w:rsid w:val="0CCE5073"/>
    <w:rsid w:val="101F3C57"/>
    <w:rsid w:val="105E064F"/>
    <w:rsid w:val="150C463E"/>
    <w:rsid w:val="154B3473"/>
    <w:rsid w:val="15B02F86"/>
    <w:rsid w:val="1BCE59A7"/>
    <w:rsid w:val="1D5E5630"/>
    <w:rsid w:val="1F9C1D8C"/>
    <w:rsid w:val="20BA3D5C"/>
    <w:rsid w:val="20FE29CD"/>
    <w:rsid w:val="213827F6"/>
    <w:rsid w:val="216C4E14"/>
    <w:rsid w:val="24756501"/>
    <w:rsid w:val="25BD4373"/>
    <w:rsid w:val="2AF82401"/>
    <w:rsid w:val="2E767338"/>
    <w:rsid w:val="308F4029"/>
    <w:rsid w:val="31EF3498"/>
    <w:rsid w:val="33457B5A"/>
    <w:rsid w:val="33EA0D37"/>
    <w:rsid w:val="3C2D2F22"/>
    <w:rsid w:val="3DFB432B"/>
    <w:rsid w:val="3FCA62E4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4FC02155"/>
    <w:rsid w:val="500F1BD2"/>
    <w:rsid w:val="51C40746"/>
    <w:rsid w:val="52130A3D"/>
    <w:rsid w:val="543E6CC0"/>
    <w:rsid w:val="55412274"/>
    <w:rsid w:val="55C03679"/>
    <w:rsid w:val="576B726F"/>
    <w:rsid w:val="57C446E9"/>
    <w:rsid w:val="58820FB8"/>
    <w:rsid w:val="5ABA52A9"/>
    <w:rsid w:val="5C8E01AF"/>
    <w:rsid w:val="5D79285C"/>
    <w:rsid w:val="62BE6D8B"/>
    <w:rsid w:val="645C1597"/>
    <w:rsid w:val="64E742EF"/>
    <w:rsid w:val="684B0AD7"/>
    <w:rsid w:val="73CB13FD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3"/>
    <w:basedOn w:val="1"/>
    <w:next w:val="5"/>
    <w:qFormat/>
    <w:uiPriority w:val="0"/>
    <w:pPr>
      <w:widowControl/>
      <w:autoSpaceDE w:val="0"/>
      <w:autoSpaceDN w:val="0"/>
      <w:spacing w:line="360" w:lineRule="auto"/>
      <w:ind w:firstLine="540"/>
    </w:pPr>
    <w:rPr>
      <w:rFonts w:ascii="宋体" w:hAnsi="宋体"/>
      <w:color w:val="000000"/>
      <w:kern w:val="0"/>
      <w:sz w:val="24"/>
      <w:szCs w:val="20"/>
    </w:rPr>
  </w:style>
  <w:style w:type="paragraph" w:customStyle="1" w:styleId="5">
    <w:name w:val="Style23"/>
    <w:basedOn w:val="1"/>
    <w:next w:val="1"/>
    <w:qFormat/>
    <w:uiPriority w:val="99"/>
    <w:rPr>
      <w:rFonts w:ascii="Calibri" w:hAnsi="宋体" w:cs="宋体"/>
      <w:kern w:val="0"/>
      <w:szCs w:val="20"/>
    </w:rPr>
  </w:style>
  <w:style w:type="paragraph" w:styleId="6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11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2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4202</Words>
  <Characters>4950</Characters>
  <Lines>0</Lines>
  <Paragraphs>0</Paragraphs>
  <TotalTime>0</TotalTime>
  <ScaleCrop>false</ScaleCrop>
  <LinksUpToDate>false</LinksUpToDate>
  <CharactersWithSpaces>5181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2024-12-12T12:20:50Z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B75986D0DF41431D87C83A7E65828F8B_13</vt:lpwstr>
  </property>
</Properties>
</file>