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双牌县司法局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pStyle w:val="5"/>
        <w:rPr>
          <w:rFonts w:hint="default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双牌县司法局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widowControl/>
        <w:spacing w:line="580" w:lineRule="atLeas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（1）承担全面依法治县重大问题的政策研究，协调有关方面提出全面依法治县中长期规划建议，负责有关重大决策部署督察工作。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（2）指导全县规范性文件管理有关工作，承担县政府规范性文件送审稿的合法性审查工作，承办县政府及其部门规范性文件的登记工作。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（3）承担统筹推进法治政府建设的责任。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（4）承担统筹规划全县法治社会建设的责任。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（5）指导、管理社区矫正工作。指导刑满释放人员帮教安置工作。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（6）负责拟订公共法律服务体系建设规划并指导实施，统筹和布局城乡、区域法律服务资源。指导、监督律师、法律援助、司法鉴定、公证和基层法律服务管理工作。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（7）负责全县法治对外合作工作。组织开展法治对外合作交流。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（8）负责本系统服装、警车和信息化管理工作，做好本系统财务、装备、设施、场所等保障工作。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（9）规划、协调、指导法治人才队伍建设相关工作。抓好本系统队伍建设。负责本系统警务管理和警务督察工作。</w:t>
      </w:r>
    </w:p>
    <w:p>
      <w:pPr>
        <w:pStyle w:val="2"/>
        <w:ind w:firstLine="280" w:firstLineChars="100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（10）完成县委、县政府交办的其他任务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</w:p>
    <w:p>
      <w:pPr>
        <w:widowControl/>
        <w:spacing w:line="580" w:lineRule="atLeast"/>
        <w:ind w:firstLine="640" w:firstLineChars="200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2、机构、人员构成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根据编委核定，我局内设股室12个，全部纳入202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8"/>
          <w:szCs w:val="28"/>
        </w:rPr>
        <w:t>年部门预算编制范围。 </w:t>
      </w:r>
      <w:r>
        <w:rPr>
          <w:rFonts w:hint="eastAsia" w:ascii="仿宋_GB2312" w:hAnsi="仿宋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28"/>
          <w:szCs w:val="28"/>
        </w:rPr>
        <w:t>内设股室分别是办公室（加挂信息中心）、法治调研与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sz w:val="28"/>
          <w:szCs w:val="28"/>
        </w:rPr>
        <w:t>督察股、公共法律服务管理股、社区矫正管理股（县社区矫正管理局）、行政复议与应诉股（县政府行政复议办公室）、行政执法协调监督股、规范性文件管理股、法律事务服务股、普法与依法治理股、人民参与和促进法治股（人民陪审员和人民监督员选任管理办公室）、装备财务保障股、政工室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。</w:t>
      </w:r>
    </w:p>
    <w:p>
      <w:pPr>
        <w:pStyle w:val="7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28"/>
          <w:szCs w:val="28"/>
        </w:rPr>
        <w:t>年本单位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编制总人数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75人，实际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年末</w:t>
      </w:r>
      <w:r>
        <w:rPr>
          <w:rFonts w:hint="eastAsia" w:ascii="仿宋_GB2312" w:hAnsi="Calibri" w:eastAsia="仿宋_GB2312" w:cs="Times New Roman"/>
          <w:sz w:val="28"/>
          <w:szCs w:val="28"/>
        </w:rPr>
        <w:t>实有人数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62</w:t>
      </w:r>
      <w:r>
        <w:rPr>
          <w:rFonts w:hint="eastAsia" w:ascii="仿宋_GB2312" w:hAnsi="Calibri" w:eastAsia="仿宋_GB2312" w:cs="Times New Roman"/>
          <w:sz w:val="28"/>
          <w:szCs w:val="28"/>
        </w:rPr>
        <w:t>人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。</w:t>
      </w:r>
    </w:p>
    <w:p>
      <w:pPr>
        <w:spacing w:line="600" w:lineRule="exact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3、2023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年度整体支出绩效目标，项目支出绩效目标</w:t>
      </w:r>
    </w:p>
    <w:p>
      <w:pPr>
        <w:spacing w:line="600" w:lineRule="exact"/>
        <w:rPr>
          <w:rFonts w:hint="eastAsia" w:ascii="宋体" w:eastAsia="宋体" w:cs="宋体"/>
          <w:color w:val="000000"/>
          <w:sz w:val="32"/>
          <w:szCs w:val="32"/>
          <w:lang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2023年部门整体支出绩效目标的金额为1017.15万元，其中，项目支出绩效目标金额183.5万元。</w:t>
      </w:r>
    </w:p>
    <w:p>
      <w:pPr>
        <w:pStyle w:val="12"/>
        <w:spacing w:beforeLines="0" w:afterLines="0" w:line="570" w:lineRule="exact"/>
        <w:ind w:left="0" w:leftChars="0" w:firstLine="0" w:firstLineChars="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2"/>
        <w:spacing w:beforeLines="0" w:afterLines="0" w:line="570" w:lineRule="exact"/>
        <w:ind w:firstLine="64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（一）基本支出情况</w:t>
      </w:r>
    </w:p>
    <w:p>
      <w:pPr>
        <w:pStyle w:val="7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2023年本部门基本支出预算数833.65 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2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项目支出情况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2023年本部门项目支出预算 183.5万元，主要是部门为完成特定行政工作任务或事业发展目标而发生的支出，包括有专项业务费、基本建设支出等。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我单位无政府性基金预算支出情况。</w:t>
      </w:r>
    </w:p>
    <w:p>
      <w:pPr>
        <w:pStyle w:val="12"/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</w:p>
    <w:p>
      <w:pPr>
        <w:pStyle w:val="12"/>
        <w:spacing w:beforeLines="0" w:afterLines="0" w:line="570" w:lineRule="exact"/>
        <w:ind w:left="0" w:leftChars="0" w:firstLine="0" w:firstLine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</w:p>
    <w:p>
      <w:pPr>
        <w:pStyle w:val="12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firstLine="960" w:firstLineChars="3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2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firstLine="960" w:firstLineChars="3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锚定2035年法治建设远景目标，充分发挥依法治县办职能作用,推进法治双牌、法治政府、法治社会一体化建设。</w:t>
      </w:r>
    </w:p>
    <w:p>
      <w:pPr>
        <w:numPr>
          <w:ilvl w:val="0"/>
          <w:numId w:val="4"/>
        </w:numPr>
        <w:wordWrap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深入学习贯彻习近平新时代中国特色社会主义思想，强化政治引领，抓好党的建设。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一是稳固提升“不忘初心、牢记使命”“党史学习教育”和政法队伍教育整顿等成果。切实引导党员干部增强“四个意识”、坚决“四个自信”、坚决做到“两个维护”，始终确保党的各项方针政策在司法行政部门落地见效，取得实实在在的成果；二是党的创新理论学习走深走实。落实好党组“第一议题”要求，抓好党组理论学习中心组制度，举行党组中心组理论学习14次，研讨交流4次，领导干部讲党课6次；三是严格落实“主题党日”“三会一课”党建制度。组织学习党章党规，结合“一月一课一实践”开展各类党日活动，主动下沉社区提供法律咨询、公证法援服务；四是精准运用监视执纪“四种形态”，组织观看警示教育片4次，传达学习典型案例6次，开展新任职、新入职干部任前廉政谈话2批15人次，处理违纪党员1人；五是强化绩效考核评价机制，加大干部轮岗交流，年内提拔聘用干部16人次，招聘引进工作人员9人，有效促进工作开展，提升干部工作活力。</w:t>
      </w:r>
    </w:p>
    <w:p>
      <w:pPr>
        <w:pStyle w:val="2"/>
        <w:rPr>
          <w:rFonts w:hint="eastAsia"/>
          <w:lang w:val="en-US" w:eastAsia="zh-CN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（二）围绕中央、省委、市委、县委要求，扎实开展“走找想促”和第二阶段主题教育活动。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一是自2023年6月开展“走找想促”大兴调查研究活动以来，局党组制发了《双牌县司法局大兴调查研究工作方案》，局党组成员领衔开展专题调查研究，上报调研信息53件；二是自2023年9月份开展第二阶段主题教育活动以来，局党组始终坚持学习贯彻习近平新时代中国特色社会主义思想，不分阶段不分时间，一以贯之，有力促使全县司法行政工作更好更向上的发展。</w:t>
      </w:r>
    </w:p>
    <w:p>
      <w:pPr>
        <w:wordWrap w:val="0"/>
        <w:topLinePunct/>
        <w:spacing w:line="560" w:lineRule="exact"/>
        <w:ind w:firstLine="640" w:firstLineChars="200"/>
        <w:contextualSpacing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（三）全面依法治县工作推进有序，法治政府建设获得长足发展。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一是召开了县委全面依法治县委员会2023年第一次会议，4名党政主要负责人在会议上进行了现场述法，进一步推动落实党政主要负责人履行推进法治建设第一责任人职责。将习近平法治思想和宪法纳入了各级党委（党组）理论中心组学习计划和县委党校教育培训课程；二是依法治县工作纳入绩效考核内容，法治建设督察纳入全县大督察范围和县委巡察内容。2023年度开展了2次法治建设实地督察，开展交通安全和运输执法领域突出问题专项整治工作，全县11个乡镇成立法治建设议事协调机构；三是行政执法协调与监督、规范性文件审查工作开展效果凸显。全县已有28个单位855名工作人员取得行政执法资格，并对市场监督管理局、城管局、交通局等重点执法领域开展了行政执法案卷检查；2023年5月底，全县56件行政规范性文件全部录入行政规范性文件数据库；四是2023年全县共收到行政复议申请30件，审结28件，本年度全县行政机关负责人出庭应诉率达到100%；五是双牌县人民政府法律顾问共参加政府常务会议38次，全程参与全县重点专项的法律事务，较好的完成了《法律顾问服务合同》约定事项及政府领导指派专项涉法工作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1、专项资金少，资金压力大。经费缺口日益增大，现在经费全部投入都只能完成基本的工作目标。</w:t>
      </w:r>
    </w:p>
    <w:p>
      <w:pPr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2、固定资产管理工作有待提高。</w:t>
      </w:r>
    </w:p>
    <w:p>
      <w:pPr>
        <w:ind w:firstLine="560" w:firstLineChars="200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3、内部财务管理制度有待完善。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4、人员严重缺编与工作任务繁重矛盾日益突出。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1.细化预算编制工作，认真做好预算的编制。进一步加强内设机构的预算管理意识，严格按照预算编制的相关制度和要求进行预算编制。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8" w:firstLineChars="196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8" w:firstLineChars="196"/>
        <w:jc w:val="both"/>
        <w:textAlignment w:val="baseline"/>
        <w:rPr>
          <w:rFonts w:hint="default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3.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9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86.27%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72.4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270.43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189.18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183.5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72.4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压缩非正常开支，厉行节减节约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文海娟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填报日期：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 xml:space="preserve">2024.05.06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7723477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单位负责人签字：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黄毅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双牌县司法局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833.65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1017.15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100%完成各项任务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100%完成各项任务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成本指标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严格执行财务管理制度，合理安排资金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厉行节约，压缩非正常性开支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时效指标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1-12月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1年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100%完成各项任务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100%完成各项任务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成本指标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压缩各项开支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按年初预算执行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时效指标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全年完成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2023年1月-12月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调解矛盾纠纷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着力解决群众最急最忧最盼问题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调解矛盾纠纷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免费发放普法宣传资料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深入群众开展各种法治宣传教育活动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免费发放普法宣传资料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坚持桥枫经验，维持社会稳定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开展走访排查，通过“事理+法理+情理”化解重大矛盾纠纷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坚持桥枫经验，维持社会稳定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法治政府建设纵深推进，推进全面依法治县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把法治政府建设放在全县高度来推进，为经济社会持续健康发展保驾护航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法治政府建设纵深推进，推进全面依法治县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zh-CN" w:eastAsia="zh-CN" w:bidi="ar-SA"/>
              </w:rPr>
              <w:t>执法规范化和法律服务质量进一步提升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群众满意率达到100%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220" w:hanging="220" w:hangingChars="100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文海娟</w:t>
      </w:r>
      <w:r>
        <w:rPr>
          <w:rFonts w:hint="eastAsia" w:eastAsia="仿宋_GB2312"/>
          <w:sz w:val="22"/>
          <w:szCs w:val="24"/>
        </w:rPr>
        <w:t xml:space="preserve">     填报日期：</w:t>
      </w:r>
      <w:r>
        <w:rPr>
          <w:rFonts w:hint="eastAsia" w:eastAsia="仿宋_GB2312"/>
          <w:sz w:val="22"/>
          <w:szCs w:val="24"/>
          <w:lang w:val="en-US" w:eastAsia="zh-CN"/>
        </w:rPr>
        <w:t>2024.5.06</w:t>
      </w:r>
      <w:r>
        <w:rPr>
          <w:rFonts w:hint="eastAsia" w:eastAsia="仿宋_GB2312"/>
          <w:sz w:val="22"/>
          <w:szCs w:val="24"/>
        </w:rPr>
        <w:t xml:space="preserve">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7723477</w:t>
      </w:r>
      <w:r>
        <w:rPr>
          <w:rFonts w:hint="eastAsia" w:eastAsia="仿宋_GB2312"/>
          <w:sz w:val="22"/>
          <w:szCs w:val="24"/>
        </w:rPr>
        <w:t xml:space="preserve">      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          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黄毅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2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92"/>
        <w:gridCol w:w="5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专项工作经费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锚定2035年法治建设远景目标，充分发挥依法治县办职能作用,推进法治双牌、法治政府、法治社会一体化建设。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项目经费使用合理，按时支出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基本完成业务工作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文海娟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7723477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黄毅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9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专项工作经费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双牌县司法局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双牌县司法局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183.5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项目经费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183.5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183.5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1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全面推进依法治县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筑牢底线，加大平安建设力度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　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年初预算完成100%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强力推进法治宣传，提高全民法律意识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全年完成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调解矛盾纠纷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坚持枫桥经验，维护社会稳定。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zh-CN" w:eastAsia="zh-CN" w:bidi="ar-SA"/>
              </w:rPr>
              <w:t>免费发放普法宣传资料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zh-CN" w:eastAsia="zh-CN" w:bidi="ar-SA"/>
              </w:rPr>
              <w:t>执法规范化和法律服务质量进一步提升。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100%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10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eastAsiaTheme="minorEastAsia"/>
          <w:sz w:val="22"/>
          <w:szCs w:val="24"/>
          <w:lang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文海娟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7723477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黄毅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7911C"/>
    <w:multiLevelType w:val="singleLevel"/>
    <w:tmpl w:val="91B791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C6576F"/>
    <w:multiLevelType w:val="singleLevel"/>
    <w:tmpl w:val="B6C657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BB55CA9"/>
    <w:multiLevelType w:val="singleLevel"/>
    <w:tmpl w:val="FBB55C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TgwMTQ4NGVlNTk2ZmIzNjAyZTEwYmU5NjhjMjgifQ=="/>
  </w:docVars>
  <w:rsids>
    <w:rsidRoot w:val="00172A27"/>
    <w:rsid w:val="0BAE7858"/>
    <w:rsid w:val="0CCE5073"/>
    <w:rsid w:val="0D556D8D"/>
    <w:rsid w:val="101F3C57"/>
    <w:rsid w:val="105E064F"/>
    <w:rsid w:val="10E13FE7"/>
    <w:rsid w:val="154B3473"/>
    <w:rsid w:val="15B02F86"/>
    <w:rsid w:val="1BCE59A7"/>
    <w:rsid w:val="1D5E5630"/>
    <w:rsid w:val="1F9C1D8C"/>
    <w:rsid w:val="20BA3D5C"/>
    <w:rsid w:val="20FE29CD"/>
    <w:rsid w:val="213827F6"/>
    <w:rsid w:val="222F006A"/>
    <w:rsid w:val="24756501"/>
    <w:rsid w:val="2AF82401"/>
    <w:rsid w:val="2CE9215A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7A16A4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89169C"/>
    <w:rsid w:val="5AAD3A38"/>
    <w:rsid w:val="5ABA52A9"/>
    <w:rsid w:val="5C8E01AF"/>
    <w:rsid w:val="62BE6D8B"/>
    <w:rsid w:val="64E742EF"/>
    <w:rsid w:val="684B0AD7"/>
    <w:rsid w:val="6899612A"/>
    <w:rsid w:val="6E351362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header"/>
    <w:basedOn w:val="1"/>
    <w:next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"/>
    <w:basedOn w:val="2"/>
    <w:next w:val="2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2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1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