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hAnsi="Times New Roman" w:eastAsia="方正小标宋简体"/>
          <w:sz w:val="52"/>
          <w:szCs w:val="24"/>
        </w:rPr>
      </w:pPr>
      <w:r>
        <w:rPr>
          <w:rFonts w:hint="eastAsia" w:ascii="方正小标宋简体" w:hAnsi="Times New Roman" w:eastAsia="方正小标宋简体"/>
          <w:sz w:val="52"/>
          <w:szCs w:val="24"/>
        </w:rPr>
        <w:t>202</w:t>
      </w:r>
      <w:r>
        <w:rPr>
          <w:rFonts w:hint="eastAsia" w:ascii="方正小标宋简体" w:hAnsi="Times New Roman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52"/>
          <w:szCs w:val="24"/>
        </w:rPr>
        <w:t>年度双牌县</w:t>
      </w:r>
      <w:r>
        <w:rPr>
          <w:rFonts w:hint="eastAsia" w:ascii="方正小标宋简体" w:hAnsi="Times New Roman" w:eastAsia="方正小标宋简体"/>
          <w:sz w:val="52"/>
          <w:szCs w:val="24"/>
          <w:lang w:eastAsia="zh-CN"/>
        </w:rPr>
        <w:t>公安局交通警察大队</w:t>
      </w:r>
      <w:r>
        <w:rPr>
          <w:rFonts w:hint="eastAsia" w:ascii="方正小标宋简体" w:hAnsi="Times New Roman" w:eastAsia="方正小标宋简体"/>
          <w:sz w:val="52"/>
          <w:szCs w:val="24"/>
          <w:lang w:val="en-US" w:eastAsia="zh-CN"/>
        </w:rPr>
        <w:t xml:space="preserve">   </w:t>
      </w:r>
      <w:r>
        <w:rPr>
          <w:rFonts w:hint="eastAsia" w:ascii="方正小标宋简体" w:hAnsi="Times New Roman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双牌县公安局交通警察大队</w:t>
      </w:r>
      <w:r>
        <w:rPr>
          <w:rFonts w:hint="eastAsia" w:eastAsia="仿宋_GB2312"/>
          <w:sz w:val="32"/>
          <w:szCs w:val="24"/>
          <w:u w:val="single"/>
        </w:rPr>
        <w:t xml:space="preserve"> 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26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我队是行政机关，主管全县道路交通安全和交通秩序以及机动车登记、驾驶员管理的执法部门。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贯彻执行国家、省、市有关道路交通安全和交通秩序的法律、法规及政策，维护道路秩序。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</w:rPr>
        <w:t>承担道路交通事故的安全宣传、隐患排查和交通事故处置、调解等工作，指导基层交通安全组织建设和开展交通安全宣传教育活动。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000000"/>
          <w:sz w:val="32"/>
          <w:szCs w:val="32"/>
        </w:rPr>
        <w:t>查处酒驾、毒驾、超员、超载、超速、疲劳驾驶等严重交通违法行为。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000000"/>
          <w:sz w:val="32"/>
          <w:szCs w:val="32"/>
        </w:rPr>
        <w:t>实施交通警（保）卫工作，参与处置突发事件，协同其他警种和部门维护公路治安秩序，打击车匪路霸及其他犯罪嫌疑人，依法查处乱设卡、乱罚款、乱收费行为。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000000"/>
          <w:sz w:val="32"/>
          <w:szCs w:val="32"/>
        </w:rPr>
        <w:t>承办小型载客汽车、大中型载货汽车、摩托车等机动车安全检验，登记发证，驾驶员培训学习、考试、核实发证等工作。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color w:val="000000"/>
          <w:sz w:val="32"/>
          <w:szCs w:val="32"/>
        </w:rPr>
        <w:t>信息报送，典型宣传报道，各类资料建档管理及数据的登记、统计、分类上报工作。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color w:val="000000"/>
          <w:sz w:val="32"/>
          <w:szCs w:val="32"/>
        </w:rPr>
        <w:t>完成县委、县政府和上级公安机关交办的其它工作。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机构编制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双牌县公安局交通警察大队内设七个股所中队：办公室、安宣股、法制科技股、车管所、城关中队、茶林中队、打鼓坪中队。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人员构成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年本单位年未实有在编在岗民警、职工共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人，公安局借调民警、职工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人，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42人；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聘请协警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63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left="640" w:leftChars="0" w:firstLine="0" w:firstLineChars="0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一般公共预算支出情况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2023年度收入总计1476.84万元。与上年相比，减少80.00万元，减少5.14%，主要是因为人员减少、中央省级转移支付资金减少、县批项目经费减少。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2023年度支出总计1476.84万元。与上年相比，减少80.00万元，减少5.14%，主要是因为人员减少、中央省级转移支付资金减少、县批项目经费减少。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2023年度财政拨款基本支出721.85万元，其中：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人员经费621.56万元，占基本支出的86.11%，主要包括：基本工资、津贴补贴、奖金、机关事业单位基本养老保险缴费、职工基本医疗保险缴费、住房公积金、生活补助。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公用经费100.29万元，占基本支出的13.89%，主要包括：办公费、印刷费、水费、邮电费、差旅费、维修（护）费、培训费、公务接待费、工会经费、福利费、公务用车运行维护费、其他交通费用、其他商品和服务支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outlineLvl w:val="1"/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2023年度财政拨款基本支出</w:t>
      </w:r>
      <w:r>
        <w:rPr>
          <w:rFonts w:ascii="宋体" w:hAnsi="宋体" w:eastAsia="宋体" w:cs="宋体"/>
          <w:color w:val="000000"/>
          <w:sz w:val="28"/>
        </w:rPr>
        <w:t>754.99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，主要为中央省级转移经费支出、非税返还收入支出、各项县批经费支出等，主要用于办案经费开支、办公设备购置、专项设备购置、被装购置等支出。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left="0" w:leftChars="0" w:firstLine="640" w:firstLineChars="200"/>
        <w:outlineLvl w:val="1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三公经费支出情况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2023年度“三公”经费财政拨款支出决算中，公务接待费支出决算0.22万元，占0.32%，因公出国（境）费支出决算0万元，占0%，公务用车购置费及运行维护费支出决算67.69万元，占99.68%。其中：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1、因公出国（境）费支出决算为0万元，全年安排因公出国（境）团组0个，累计0人次,开支内容为无因公出国（境）费支出。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2、公务接待费支出决算为0.22万元，全年共接待来访团组2个、来宾10人次，主要是工作检查发生的接待支出。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outlineLvl w:val="1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3、公务用车购置费及运行维护费支出决算为67.69万元，其中：公务用车购置费17.79万元，双牌县公安局交通警察大队更新公务用车1辆。公务用车运行维护费49.90万元，主要是公务用车保险费、油料费、维修维护费等支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left="638" w:leftChars="304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本部门整体支出和项目支出实行绩效目标管理，纳入2023年部门整体支出绩效目标金额为1476.84万元，其中，基本支出721.84万元，项目跟支出745.99万元。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2023以来，在县委、县政府的部署安排下，在市、县公安机关的关心指导下,双牌县公安局交通警察大队迅速开展了事故预防“减量控大”及交通问题顽瘴痼疾集中整治行动再发力，始终坚持“生命至上、人民至上”，不断强化顽瘴痼疾清除，深化道路交通管控，实现辖区“路畅人安”。元旦以来，全县共发生交通事故总数1515起，同比上升17.7%，受伤人数275人，上升36.33%，亡人交通事故7起，死亡7人，亡人数较去年同期下降30%，。</w:t>
      </w:r>
      <w:r>
        <w:rPr>
          <w:rFonts w:hint="eastAsia" w:ascii="仿宋_GB2312" w:hAnsi="Times New Roman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顽疾清查高压持续，</w:t>
      </w: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在辖区内积极开展双牌县乡镇道路交通违法集中整治专项行动，依法严厉打击国省道、乡村道路交通违法人3000多人次、扣押报废车、无牌无证车辆600余台。共出动警力2.7万余人次，警车6000余台次，共查处交通违法66921起，其中酒醉驾407起，非机动车违法31972起，工程运输车违法2279起，国省道五类违法759起，不系安全带19494起，查缉布控2314起，农村“两违”451起，其他违法5000余起。扣留各类违法车辆343台。一般程序759起，刑事立案57起，行政拘留33起。</w:t>
      </w:r>
      <w:r>
        <w:rPr>
          <w:rFonts w:hint="eastAsia" w:ascii="仿宋_GB2312" w:hAnsi="Times New Roman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宣传教育全面展开，文明出行持续向好。</w:t>
      </w: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向“双牌新闻网”、红网永州站、今日永州、法制湖南网、新湖南、人民日报华声在线等媒体投稿180余篇，其中上稿市级媒体126篇，省级媒体上稿11篇。在汽车客运站、危化运输企业、农村交通安全劝导站、农村集市等重点场所悬挂事故预防“减量控大”宣传横幅或摆放宣传展板33处，发放交通问题“一盔一带”相关内容法律法规知识宣传资料9000余份,走进学校发放《中小学生交通安全读本》2.2万余本，发放头盔、书包等物品200余份。</w:t>
      </w:r>
      <w:r>
        <w:rPr>
          <w:rFonts w:hint="eastAsia" w:ascii="仿宋_GB2312" w:hAnsi="Times New Roman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预防工作全面开展，隐患整改成果显著。</w:t>
      </w: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组织专门警力对辖区道路交通标志标线进行隐患排查登记新增12处，潇水桥与207国道路口等10余处完善标志标线，完善交通标志23处；在油菜花节、和文化节、重要领导莅双等特殊节点开展交通安保100多场次，圆满完成各类交通安保。通过预防工作，实现主要隐患路段交通事故明显减少，交通出行保障明显提高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1、预算编制工作不够细化，款类项科目摆放不够精准。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2、预算执行率有待提高，由于预算项目未实施或未及时报账导致年末预算资金未支出。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3、绩效目标设立不够细化、量化，资金使用效益有待进一步提高。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27" w:firstLineChars="196"/>
        <w:jc w:val="both"/>
        <w:textAlignment w:val="baseline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27" w:firstLineChars="196"/>
        <w:jc w:val="both"/>
        <w:textAlignment w:val="baseline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27" w:firstLineChars="196"/>
        <w:jc w:val="both"/>
        <w:textAlignment w:val="baseline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部门整体支出绩效自评结果拟应用和公开情况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27" w:firstLineChars="196"/>
        <w:jc w:val="both"/>
        <w:textAlignment w:val="baseline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根据部门整体支出绩效评价指标体系，自评良好，按规公开。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line="56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rPr>
          <w:rFonts w:hint="eastAsia" w:eastAsia="黑体"/>
          <w:lang w:eastAsia="zh-CN"/>
        </w:rPr>
      </w:pPr>
      <w:r>
        <w:rPr>
          <w:rFonts w:hint="eastAsia" w:eastAsia="黑体"/>
          <w:sz w:val="32"/>
          <w:szCs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="120" w:afterLines="50" w:line="56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tbl>
      <w:tblPr>
        <w:tblW w:w="106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1187"/>
        <w:gridCol w:w="1400"/>
        <w:gridCol w:w="995"/>
        <w:gridCol w:w="1444"/>
        <w:gridCol w:w="1395"/>
        <w:gridCol w:w="137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基础数据表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财政供养人员情况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编制数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2023年实际在职人数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86.36%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经费控制情况(万元)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2022年决算数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2023年预算数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2023年决算数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三公经费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1、公务用车购置和维护经费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其中：公车购置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27.19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公车运行维护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52.57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2、出国经费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3、公务接待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1、业务工作经费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2、运行维护经费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公用经费：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其中：办公经费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28.1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水费、电费、差旅费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51.93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会议费、培训费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政府采购金额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（2023年完工项目）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批复规模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实际规模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规模控制率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预算投资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实际投资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厉行节约保障措施</w:t>
            </w:r>
          </w:p>
        </w:tc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本年度无此项目</w:t>
            </w:r>
          </w:p>
        </w:tc>
      </w:tr>
    </w:tbl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tbl>
      <w:tblPr>
        <w:tblW w:w="185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77"/>
        <w:gridCol w:w="1124"/>
        <w:gridCol w:w="1127"/>
        <w:gridCol w:w="1130"/>
        <w:gridCol w:w="535"/>
        <w:gridCol w:w="541"/>
        <w:gridCol w:w="4304"/>
        <w:gridCol w:w="4511"/>
        <w:gridCol w:w="41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预算部门名称</w:t>
            </w:r>
          </w:p>
        </w:tc>
        <w:tc>
          <w:tcPr>
            <w:tcW w:w="174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双牌县公安局交通警察大队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1505.80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1505.80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1476.84</w:t>
            </w:r>
          </w:p>
        </w:tc>
        <w:tc>
          <w:tcPr>
            <w:tcW w:w="4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98.07%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按收入性质分：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按支出性质分：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一般公共预算：</w:t>
            </w: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1476.84</w:t>
            </w:r>
          </w:p>
        </w:tc>
        <w:tc>
          <w:tcPr>
            <w:tcW w:w="4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其中:基本支出：</w:t>
            </w:r>
          </w:p>
        </w:tc>
        <w:tc>
          <w:tcPr>
            <w:tcW w:w="8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政府性基金拨款：</w:t>
            </w: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纳入专户管理的非税收入拨款：</w:t>
            </w: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8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极开展道路交通违法集中整治专项行动，启动查缉布控系统。交通保畅扎实完成，今年以来，交警圆满完成了各项重要时段、重要节假日及其他活动道路保畅工作。交通事故处理扎实规范，大队严格落实错案责任追究机制，确保事故处理“依法、公开、公正、公平”。交通安全宣传扎实展开，道路基础设施建设扎实完善，部门协作扎实紧密。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极开展道路交通违法集中整治专项行动，启动查缉布控系统。交通保畅扎实完成，今年以来，交警圆满完成了各项重要时段、重要节假日及其他活动道路保畅工作。交通事故处理扎实规范，大队严格落实错案责任追究机制，确保事故处理“依法、公开、公正、公平”。交通安全宣传扎实展开，道路基础设施建设扎实完善，部门协作扎实紧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2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开展执勤执法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工作质量完成度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2023.12.31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非税收入完成度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349.37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因非税新老系统对账存在问题，导致2023年交警非税收入存在差额，交警队收费系统结算数为700多万，非税系统结算数为349.37万元。后续正在与非税对接中。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服务对象和社会满意度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74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</w:tbl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A9F4A0"/>
    <w:multiLevelType w:val="singleLevel"/>
    <w:tmpl w:val="B2A9F4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CB2EFF"/>
    <w:multiLevelType w:val="singleLevel"/>
    <w:tmpl w:val="FACB2E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C134372"/>
    <w:multiLevelType w:val="singleLevel"/>
    <w:tmpl w:val="0C13437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DA4Yzc0Yzc1ZGY3NTE1ZWEwYmY0MjViNzI2YjIifQ=="/>
  </w:docVars>
  <w:rsids>
    <w:rsidRoot w:val="00172A27"/>
    <w:rsid w:val="05FF7B29"/>
    <w:rsid w:val="06987FAA"/>
    <w:rsid w:val="0A0811CB"/>
    <w:rsid w:val="0CCE5073"/>
    <w:rsid w:val="0E450D12"/>
    <w:rsid w:val="0F86205D"/>
    <w:rsid w:val="101F3C57"/>
    <w:rsid w:val="105E064F"/>
    <w:rsid w:val="11A17CB5"/>
    <w:rsid w:val="11C83B5A"/>
    <w:rsid w:val="154B3473"/>
    <w:rsid w:val="157A4225"/>
    <w:rsid w:val="15B02F86"/>
    <w:rsid w:val="18EF03B9"/>
    <w:rsid w:val="19E07485"/>
    <w:rsid w:val="1B941D34"/>
    <w:rsid w:val="1BCE59A7"/>
    <w:rsid w:val="1C567938"/>
    <w:rsid w:val="1D5E5630"/>
    <w:rsid w:val="1F9C1D8C"/>
    <w:rsid w:val="20BA3D5C"/>
    <w:rsid w:val="20FE29CD"/>
    <w:rsid w:val="213827F6"/>
    <w:rsid w:val="24756501"/>
    <w:rsid w:val="2626656D"/>
    <w:rsid w:val="2AF82401"/>
    <w:rsid w:val="31EF3498"/>
    <w:rsid w:val="33457B5A"/>
    <w:rsid w:val="33EA0D37"/>
    <w:rsid w:val="3DFB432B"/>
    <w:rsid w:val="3E197C68"/>
    <w:rsid w:val="3F0431E2"/>
    <w:rsid w:val="40FC5082"/>
    <w:rsid w:val="41A60F90"/>
    <w:rsid w:val="41F969B9"/>
    <w:rsid w:val="437042B4"/>
    <w:rsid w:val="43D25C86"/>
    <w:rsid w:val="47FF7E2A"/>
    <w:rsid w:val="4A0D3BCD"/>
    <w:rsid w:val="4A7E5437"/>
    <w:rsid w:val="4B490F32"/>
    <w:rsid w:val="4B564457"/>
    <w:rsid w:val="4C575977"/>
    <w:rsid w:val="4C9C3704"/>
    <w:rsid w:val="4DF30F3A"/>
    <w:rsid w:val="4E8B7C40"/>
    <w:rsid w:val="4F1637A4"/>
    <w:rsid w:val="500F1BD2"/>
    <w:rsid w:val="51C40746"/>
    <w:rsid w:val="543E6CC0"/>
    <w:rsid w:val="55412274"/>
    <w:rsid w:val="55C03679"/>
    <w:rsid w:val="56447DB0"/>
    <w:rsid w:val="57C446E9"/>
    <w:rsid w:val="58820FB8"/>
    <w:rsid w:val="5ABA52A9"/>
    <w:rsid w:val="5C8E01AF"/>
    <w:rsid w:val="5CEF1823"/>
    <w:rsid w:val="5D355766"/>
    <w:rsid w:val="62BE6D8B"/>
    <w:rsid w:val="64E742EF"/>
    <w:rsid w:val="684B0AD7"/>
    <w:rsid w:val="69284C79"/>
    <w:rsid w:val="6B7203BF"/>
    <w:rsid w:val="6DDB06DA"/>
    <w:rsid w:val="75073918"/>
    <w:rsid w:val="771A18F7"/>
    <w:rsid w:val="7D332CFB"/>
    <w:rsid w:val="7E5D2BA4"/>
    <w:rsid w:val="7E72042C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cs="Calibri"/>
      <w:kern w:val="0"/>
      <w:sz w:val="20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8</TotalTime>
  <ScaleCrop>false</ScaleCrop>
  <LinksUpToDate>false</LinksUpToDate>
  <CharactersWithSpaces>4427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