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中共双牌县纪律检查委员会</w:t>
      </w:r>
      <w:r>
        <w:rPr>
          <w:rFonts w:hint="eastAsia" w:ascii="方正小标宋简体" w:eastAsia="方正小标宋简体"/>
          <w:sz w:val="52"/>
          <w:szCs w:val="24"/>
        </w:rPr>
        <w:t>部门整体支出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中共双牌县纪律检查委员会</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月</w:t>
      </w:r>
      <w:r>
        <w:rPr>
          <w:rFonts w:hint="eastAsia" w:eastAsia="楷体_GB2312"/>
          <w:sz w:val="32"/>
          <w:szCs w:val="24"/>
          <w:lang w:val="en-US" w:eastAsia="zh-CN"/>
        </w:rPr>
        <w:t>12</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部门基本情况</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1、贯彻落实党中央、中纪委、省委、省纪委、市委、市纪委和县委加强党风廉政建设和党的纪律检查的指示、决定，领导全县和党的关系在双牌的中央及省属单位党的纪律检查工作。</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2、负责对党员进行党纪教育，作出关于维护党纪的决定。</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3、维护党的章程和其他党内法规、检查党的路线、方针政策和决议的执行情况，协助县委加强党风建设和组织协调反腐败工作。</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4、负责检查和处理全县各级党的组织和党员违反党的章程和其他党内法规的比较重要或复杂的案件，决定或取消对这些案件中的党员的处分。</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5、对党且领导干部行使权力进行监督。</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6、调查研究辖区内党风党纪和反腐倡廉情况，健全和完善党内法规、制度。</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7、受理党员的控告和申诉，保障党员的权利。</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8、维护宪法和法律法规。</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9、按照干部管理权限，商同县委组织部对县区纪委和县直处级单位纪检组领导干部进行考察、调整和任免。</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10、依法监察公职人员行使公权力的情况，调查职务违法和职务犯罪。</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val="en-US" w:eastAsia="zh-CN"/>
        </w:rPr>
        <w:t>11、开展廉政建设和反腐败工作。</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2、机构设置</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根据《中共双牌县委办公室双牌县人民政府办公室关于印发&lt;双牌县</w:t>
      </w:r>
      <w:r>
        <w:rPr>
          <w:rFonts w:hint="eastAsia" w:ascii="仿宋_GB2312" w:eastAsia="仿宋_GB2312"/>
          <w:sz w:val="32"/>
          <w:szCs w:val="24"/>
          <w:lang w:eastAsia="zh-CN"/>
        </w:rPr>
        <w:t>中共双牌县纪律检查委员会</w:t>
      </w:r>
      <w:r>
        <w:rPr>
          <w:rFonts w:hint="eastAsia" w:ascii="仿宋_GB2312" w:eastAsia="仿宋_GB2312"/>
          <w:sz w:val="32"/>
          <w:szCs w:val="24"/>
        </w:rPr>
        <w:t>主要职责、内设机构和人员编制规定&gt;的通知》（双办发［2019］57号），</w:t>
      </w:r>
      <w:r>
        <w:rPr>
          <w:rFonts w:hint="eastAsia" w:ascii="仿宋_GB2312" w:eastAsia="仿宋_GB2312"/>
          <w:sz w:val="32"/>
          <w:szCs w:val="24"/>
          <w:lang w:eastAsia="zh-CN"/>
        </w:rPr>
        <w:t>中共双牌县纪律检查委员会</w:t>
      </w:r>
      <w:r>
        <w:rPr>
          <w:rFonts w:hint="eastAsia" w:ascii="仿宋_GB2312" w:eastAsia="仿宋_GB2312"/>
          <w:sz w:val="32"/>
          <w:szCs w:val="24"/>
        </w:rPr>
        <w:t>机关设</w:t>
      </w:r>
      <w:r>
        <w:rPr>
          <w:rFonts w:hint="eastAsia" w:ascii="仿宋_GB2312" w:eastAsia="仿宋_GB2312"/>
          <w:sz w:val="32"/>
          <w:szCs w:val="24"/>
          <w:lang w:val="en-US" w:eastAsia="zh-CN"/>
        </w:rPr>
        <w:t>28</w:t>
      </w:r>
      <w:r>
        <w:rPr>
          <w:rFonts w:hint="eastAsia" w:ascii="仿宋_GB2312" w:eastAsia="仿宋_GB2312"/>
          <w:sz w:val="32"/>
          <w:szCs w:val="24"/>
        </w:rPr>
        <w:t>个内设机构：办公室、党风政风监督室、信访室、组织部、干部监督室、宣传部、案件监督管理室、案件审理室、第一纪检监察室、第二纪检监察室、第三纪检监察室、第四纪检监察室、第五纪检监察室、第六纪检监察室、第七纪检监察室、第八纪检监察室、第九纪检监察室、第十纪检监察室、驻县委办纪检监察组、驻政府办纪检监察组、驻县委组织部纪检监察组、驻县委宣传部纪检监察组、驻卫健局纪检监察组、驻财政局纪检监察组、驻农业农村局纪检监察组、驻县委政法委纪检监察组、驻教育局纪检监察组、作风办。</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3、人员构成</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双牌县</w:t>
      </w:r>
      <w:r>
        <w:rPr>
          <w:rFonts w:hint="eastAsia" w:ascii="仿宋_GB2312" w:eastAsia="仿宋_GB2312"/>
          <w:sz w:val="32"/>
          <w:szCs w:val="24"/>
          <w:lang w:eastAsia="zh-CN"/>
        </w:rPr>
        <w:t>中共双牌县纪律检查委员会</w:t>
      </w:r>
      <w:r>
        <w:rPr>
          <w:rFonts w:hint="eastAsia" w:ascii="仿宋_GB2312" w:eastAsia="仿宋_GB2312"/>
          <w:sz w:val="32"/>
          <w:szCs w:val="24"/>
        </w:rPr>
        <w:t>单位核定编制数</w:t>
      </w:r>
      <w:r>
        <w:rPr>
          <w:rFonts w:hint="eastAsia" w:ascii="仿宋_GB2312" w:eastAsia="仿宋_GB2312"/>
          <w:sz w:val="32"/>
          <w:szCs w:val="24"/>
          <w:lang w:val="en-US" w:eastAsia="zh-CN"/>
        </w:rPr>
        <w:t>100</w:t>
      </w:r>
      <w:r>
        <w:rPr>
          <w:rFonts w:hint="eastAsia" w:ascii="仿宋_GB2312" w:eastAsia="仿宋_GB2312"/>
          <w:sz w:val="32"/>
          <w:szCs w:val="24"/>
        </w:rPr>
        <w:t>人，其中，行政编制</w:t>
      </w:r>
      <w:r>
        <w:rPr>
          <w:rFonts w:hint="eastAsia" w:ascii="仿宋_GB2312" w:eastAsia="仿宋_GB2312"/>
          <w:sz w:val="32"/>
          <w:szCs w:val="24"/>
          <w:lang w:val="en-US" w:eastAsia="zh-CN"/>
        </w:rPr>
        <w:t>94</w:t>
      </w:r>
      <w:r>
        <w:rPr>
          <w:rFonts w:hint="eastAsia" w:ascii="仿宋_GB2312" w:eastAsia="仿宋_GB2312"/>
          <w:sz w:val="32"/>
          <w:szCs w:val="24"/>
        </w:rPr>
        <w:t>人，事业编制</w:t>
      </w:r>
      <w:r>
        <w:rPr>
          <w:rFonts w:hint="eastAsia" w:ascii="仿宋_GB2312" w:eastAsia="仿宋_GB2312"/>
          <w:sz w:val="32"/>
          <w:szCs w:val="24"/>
          <w:lang w:val="en-US" w:eastAsia="zh-CN"/>
        </w:rPr>
        <w:t>4</w:t>
      </w:r>
      <w:r>
        <w:rPr>
          <w:rFonts w:hint="eastAsia" w:ascii="仿宋_GB2312" w:eastAsia="仿宋_GB2312"/>
          <w:sz w:val="32"/>
          <w:szCs w:val="24"/>
        </w:rPr>
        <w:t>人</w:t>
      </w:r>
      <w:r>
        <w:rPr>
          <w:rFonts w:hint="eastAsia" w:ascii="仿宋_GB2312" w:eastAsia="仿宋_GB2312"/>
          <w:sz w:val="32"/>
          <w:szCs w:val="24"/>
          <w:lang w:eastAsia="zh-CN"/>
        </w:rPr>
        <w:t>，工勤编制2</w:t>
      </w:r>
      <w:r>
        <w:rPr>
          <w:rFonts w:hint="eastAsia" w:ascii="仿宋_GB2312" w:eastAsia="仿宋_GB2312"/>
          <w:sz w:val="32"/>
          <w:szCs w:val="24"/>
          <w:lang w:val="en-US" w:eastAsia="zh-CN"/>
        </w:rPr>
        <w:t>人</w:t>
      </w: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年末单位实有人数</w:t>
      </w:r>
      <w:r>
        <w:rPr>
          <w:rFonts w:hint="eastAsia" w:ascii="仿宋_GB2312" w:eastAsia="仿宋_GB2312"/>
          <w:sz w:val="32"/>
          <w:szCs w:val="24"/>
          <w:lang w:val="en-US" w:eastAsia="zh-CN"/>
        </w:rPr>
        <w:t>79</w:t>
      </w:r>
      <w:r>
        <w:rPr>
          <w:rFonts w:hint="eastAsia" w:ascii="仿宋_GB2312" w:eastAsia="仿宋_GB2312"/>
          <w:sz w:val="32"/>
          <w:szCs w:val="24"/>
        </w:rPr>
        <w:t>人，其中，行政编制</w:t>
      </w:r>
      <w:r>
        <w:rPr>
          <w:rFonts w:hint="eastAsia" w:ascii="仿宋_GB2312" w:eastAsia="仿宋_GB2312"/>
          <w:sz w:val="32"/>
          <w:szCs w:val="24"/>
          <w:lang w:val="en-US" w:eastAsia="zh-CN"/>
        </w:rPr>
        <w:t>72</w:t>
      </w:r>
      <w:r>
        <w:rPr>
          <w:rFonts w:hint="eastAsia" w:ascii="仿宋_GB2312" w:eastAsia="仿宋_GB2312"/>
          <w:sz w:val="32"/>
          <w:szCs w:val="24"/>
        </w:rPr>
        <w:t>人，事业编制</w:t>
      </w:r>
      <w:r>
        <w:rPr>
          <w:rFonts w:hint="eastAsia" w:ascii="仿宋_GB2312" w:eastAsia="仿宋_GB2312"/>
          <w:sz w:val="32"/>
          <w:szCs w:val="24"/>
          <w:lang w:val="en-US" w:eastAsia="zh-CN"/>
        </w:rPr>
        <w:t>7</w:t>
      </w:r>
      <w:r>
        <w:rPr>
          <w:rFonts w:hint="eastAsia" w:ascii="仿宋_GB2312" w:eastAsia="仿宋_GB2312"/>
          <w:sz w:val="32"/>
          <w:szCs w:val="24"/>
        </w:rPr>
        <w:t xml:space="preserve">人。 </w:t>
      </w:r>
    </w:p>
    <w:p>
      <w:pPr>
        <w:numPr>
          <w:ilvl w:val="0"/>
          <w:numId w:val="2"/>
        </w:num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部门整体支出规模</w:t>
      </w:r>
    </w:p>
    <w:p>
      <w:pPr>
        <w:numPr>
          <w:ilvl w:val="0"/>
          <w:numId w:val="0"/>
        </w:numPr>
        <w:spacing w:beforeLines="0" w:afterLines="0" w:line="570" w:lineRule="exact"/>
        <w:ind w:firstLine="640" w:firstLineChars="200"/>
        <w:outlineLvl w:val="1"/>
        <w:rPr>
          <w:rFonts w:hint="eastAsia" w:eastAsia="仿宋_GB2312"/>
          <w:color w:val="000000"/>
          <w:sz w:val="32"/>
          <w:szCs w:val="24"/>
          <w:highlight w:val="none"/>
        </w:rPr>
      </w:pPr>
      <w:r>
        <w:rPr>
          <w:rFonts w:hint="eastAsia" w:eastAsia="仿宋_GB2312"/>
          <w:color w:val="000000"/>
          <w:sz w:val="32"/>
          <w:szCs w:val="24"/>
          <w:highlight w:val="none"/>
        </w:rPr>
        <w:t>本年度部门整体支出</w:t>
      </w:r>
      <w:r>
        <w:rPr>
          <w:rFonts w:hint="eastAsia" w:eastAsia="仿宋_GB2312"/>
          <w:color w:val="000000"/>
          <w:sz w:val="32"/>
          <w:szCs w:val="24"/>
          <w:highlight w:val="none"/>
          <w:lang w:val="en-US" w:eastAsia="zh-CN"/>
        </w:rPr>
        <w:t>1699.76</w:t>
      </w:r>
      <w:r>
        <w:rPr>
          <w:rFonts w:hint="eastAsia" w:eastAsia="仿宋_GB2312"/>
          <w:color w:val="000000"/>
          <w:sz w:val="32"/>
          <w:szCs w:val="24"/>
          <w:highlight w:val="none"/>
        </w:rPr>
        <w:t>万元，其中，基本支出</w:t>
      </w:r>
      <w:r>
        <w:rPr>
          <w:rFonts w:hint="eastAsia" w:eastAsia="仿宋_GB2312"/>
          <w:color w:val="000000"/>
          <w:sz w:val="32"/>
          <w:szCs w:val="24"/>
          <w:highlight w:val="none"/>
          <w:lang w:val="en-US" w:eastAsia="zh-CN"/>
        </w:rPr>
        <w:t>1160.48</w:t>
      </w:r>
      <w:r>
        <w:rPr>
          <w:rFonts w:hint="eastAsia" w:eastAsia="仿宋_GB2312"/>
          <w:color w:val="000000"/>
          <w:sz w:val="32"/>
          <w:szCs w:val="24"/>
          <w:highlight w:val="none"/>
        </w:rPr>
        <w:t>万元，项目支出</w:t>
      </w:r>
      <w:r>
        <w:rPr>
          <w:rFonts w:hint="eastAsia" w:eastAsia="仿宋_GB2312"/>
          <w:color w:val="000000"/>
          <w:sz w:val="32"/>
          <w:szCs w:val="24"/>
          <w:highlight w:val="none"/>
          <w:lang w:val="en-US" w:eastAsia="zh-CN"/>
        </w:rPr>
        <w:t>539.28</w:t>
      </w:r>
      <w:r>
        <w:rPr>
          <w:rFonts w:hint="eastAsia" w:eastAsia="仿宋_GB2312"/>
          <w:color w:val="000000"/>
          <w:sz w:val="32"/>
          <w:szCs w:val="24"/>
          <w:highlight w:val="none"/>
        </w:rPr>
        <w:t>万元。收入决算数</w:t>
      </w:r>
      <w:r>
        <w:rPr>
          <w:rFonts w:hint="eastAsia" w:eastAsia="仿宋_GB2312"/>
          <w:color w:val="000000"/>
          <w:sz w:val="32"/>
          <w:szCs w:val="24"/>
          <w:highlight w:val="none"/>
          <w:lang w:val="en-US" w:eastAsia="zh-CN"/>
        </w:rPr>
        <w:t>1699.76</w:t>
      </w:r>
      <w:r>
        <w:rPr>
          <w:rFonts w:hint="eastAsia" w:eastAsia="仿宋_GB2312"/>
          <w:color w:val="000000"/>
          <w:sz w:val="32"/>
          <w:szCs w:val="24"/>
          <w:highlight w:val="none"/>
        </w:rPr>
        <w:t>万元，比年初预算数</w:t>
      </w:r>
      <w:r>
        <w:rPr>
          <w:rFonts w:hint="eastAsia" w:eastAsia="仿宋_GB2312"/>
          <w:color w:val="000000"/>
          <w:sz w:val="32"/>
          <w:szCs w:val="24"/>
          <w:highlight w:val="none"/>
          <w:lang w:val="en-US" w:eastAsia="zh-CN"/>
        </w:rPr>
        <w:t>增加19.26</w:t>
      </w:r>
      <w:r>
        <w:rPr>
          <w:rFonts w:hint="eastAsia" w:eastAsia="仿宋_GB2312"/>
          <w:color w:val="000000"/>
          <w:sz w:val="32"/>
          <w:szCs w:val="24"/>
          <w:highlight w:val="none"/>
        </w:rPr>
        <w:t>万元，变动主要原因是</w:t>
      </w:r>
      <w:r>
        <w:rPr>
          <w:rFonts w:hint="eastAsia" w:eastAsia="仿宋_GB2312"/>
          <w:color w:val="000000"/>
          <w:sz w:val="32"/>
          <w:szCs w:val="24"/>
          <w:highlight w:val="none"/>
          <w:lang w:val="en-US" w:eastAsia="zh-CN"/>
        </w:rPr>
        <w:t>罚没</w:t>
      </w:r>
      <w:r>
        <w:rPr>
          <w:rFonts w:hint="eastAsia" w:eastAsia="仿宋_GB2312"/>
          <w:color w:val="000000"/>
          <w:sz w:val="32"/>
          <w:szCs w:val="24"/>
          <w:highlight w:val="none"/>
        </w:rPr>
        <w:t>收入</w:t>
      </w:r>
      <w:r>
        <w:rPr>
          <w:rFonts w:hint="eastAsia" w:eastAsia="仿宋_GB2312"/>
          <w:color w:val="000000"/>
          <w:sz w:val="32"/>
          <w:szCs w:val="24"/>
          <w:highlight w:val="none"/>
          <w:lang w:eastAsia="zh-CN"/>
        </w:rPr>
        <w:t>、</w:t>
      </w:r>
      <w:r>
        <w:rPr>
          <w:rFonts w:hint="eastAsia" w:eastAsia="仿宋_GB2312"/>
          <w:color w:val="000000"/>
          <w:sz w:val="32"/>
          <w:szCs w:val="24"/>
          <w:highlight w:val="none"/>
          <w:lang w:val="en-US" w:eastAsia="zh-CN"/>
        </w:rPr>
        <w:t>增加</w:t>
      </w:r>
      <w:r>
        <w:rPr>
          <w:rFonts w:hint="eastAsia" w:eastAsia="仿宋_GB2312"/>
          <w:color w:val="000000"/>
          <w:sz w:val="32"/>
          <w:szCs w:val="24"/>
          <w:highlight w:val="none"/>
        </w:rPr>
        <w:t>。支出决算数</w:t>
      </w:r>
      <w:r>
        <w:rPr>
          <w:rFonts w:hint="eastAsia" w:eastAsia="仿宋_GB2312"/>
          <w:color w:val="000000"/>
          <w:sz w:val="32"/>
          <w:szCs w:val="24"/>
          <w:highlight w:val="none"/>
          <w:lang w:val="en-US" w:eastAsia="zh-CN"/>
        </w:rPr>
        <w:t>1699.76</w:t>
      </w:r>
      <w:r>
        <w:rPr>
          <w:rFonts w:hint="eastAsia" w:eastAsia="仿宋_GB2312"/>
          <w:color w:val="000000"/>
          <w:sz w:val="32"/>
          <w:szCs w:val="24"/>
          <w:highlight w:val="none"/>
        </w:rPr>
        <w:t>万元，比年初预算数</w:t>
      </w:r>
      <w:r>
        <w:rPr>
          <w:rFonts w:hint="eastAsia" w:eastAsia="仿宋_GB2312"/>
          <w:color w:val="000000"/>
          <w:sz w:val="32"/>
          <w:szCs w:val="24"/>
          <w:highlight w:val="none"/>
          <w:lang w:val="en-US" w:eastAsia="zh-CN"/>
        </w:rPr>
        <w:t>增加19.26</w:t>
      </w:r>
      <w:r>
        <w:rPr>
          <w:rFonts w:hint="eastAsia" w:eastAsia="仿宋_GB2312"/>
          <w:color w:val="000000"/>
          <w:sz w:val="32"/>
          <w:szCs w:val="24"/>
          <w:highlight w:val="none"/>
        </w:rPr>
        <w:t>万元，变动主要原因是</w:t>
      </w:r>
      <w:r>
        <w:rPr>
          <w:rFonts w:hint="eastAsia" w:eastAsia="仿宋_GB2312"/>
          <w:color w:val="000000"/>
          <w:sz w:val="32"/>
          <w:szCs w:val="24"/>
          <w:highlight w:val="none"/>
          <w:lang w:val="en-US" w:eastAsia="zh-CN"/>
        </w:rPr>
        <w:t>办案经费增加</w:t>
      </w:r>
      <w:r>
        <w:rPr>
          <w:rFonts w:hint="eastAsia" w:eastAsia="仿宋_GB2312"/>
          <w:color w:val="000000"/>
          <w:sz w:val="32"/>
          <w:szCs w:val="24"/>
          <w:highlight w:val="none"/>
        </w:rPr>
        <w:t>。</w:t>
      </w:r>
    </w:p>
    <w:p>
      <w:pPr>
        <w:numPr>
          <w:ilvl w:val="0"/>
          <w:numId w:val="0"/>
        </w:numPr>
        <w:spacing w:beforeLines="0" w:afterLines="0" w:line="570" w:lineRule="exact"/>
        <w:ind w:firstLine="640" w:firstLineChars="200"/>
        <w:outlineLvl w:val="1"/>
        <w:rPr>
          <w:rFonts w:hint="eastAsia" w:eastAsia="仿宋_GB2312"/>
          <w:color w:val="000000"/>
          <w:sz w:val="32"/>
          <w:szCs w:val="24"/>
        </w:rPr>
      </w:pPr>
      <w:r>
        <w:rPr>
          <w:rFonts w:hint="eastAsia" w:eastAsia="仿宋_GB2312"/>
          <w:color w:val="000000"/>
          <w:sz w:val="32"/>
          <w:szCs w:val="24"/>
          <w:highlight w:val="none"/>
        </w:rPr>
        <w:t>三公经费预算数</w:t>
      </w:r>
      <w:r>
        <w:rPr>
          <w:rFonts w:hint="eastAsia" w:eastAsia="仿宋_GB2312"/>
          <w:color w:val="000000"/>
          <w:sz w:val="32"/>
          <w:szCs w:val="24"/>
          <w:highlight w:val="none"/>
          <w:lang w:val="en-US" w:eastAsia="zh-CN"/>
        </w:rPr>
        <w:t>29</w:t>
      </w:r>
      <w:r>
        <w:rPr>
          <w:rFonts w:hint="eastAsia" w:eastAsia="仿宋_GB2312"/>
          <w:color w:val="000000"/>
          <w:sz w:val="32"/>
          <w:szCs w:val="24"/>
          <w:highlight w:val="none"/>
        </w:rPr>
        <w:t>万元，决算数</w:t>
      </w:r>
      <w:r>
        <w:rPr>
          <w:rFonts w:hint="eastAsia" w:eastAsia="仿宋_GB2312"/>
          <w:color w:val="000000"/>
          <w:sz w:val="32"/>
          <w:szCs w:val="24"/>
          <w:highlight w:val="none"/>
          <w:lang w:val="en-US" w:eastAsia="zh-CN"/>
        </w:rPr>
        <w:t>27.9</w:t>
      </w:r>
      <w:r>
        <w:rPr>
          <w:rFonts w:hint="eastAsia" w:eastAsia="仿宋_GB2312"/>
          <w:color w:val="000000"/>
          <w:sz w:val="32"/>
          <w:szCs w:val="24"/>
          <w:highlight w:val="none"/>
        </w:rPr>
        <w:t>万元，其中：公务接待费</w:t>
      </w:r>
      <w:r>
        <w:rPr>
          <w:rFonts w:hint="eastAsia" w:eastAsia="仿宋_GB2312"/>
          <w:color w:val="000000"/>
          <w:sz w:val="32"/>
          <w:szCs w:val="24"/>
          <w:highlight w:val="none"/>
          <w:lang w:val="en-US" w:eastAsia="zh-CN"/>
        </w:rPr>
        <w:t>8.38</w:t>
      </w:r>
      <w:r>
        <w:rPr>
          <w:rFonts w:hint="eastAsia" w:eastAsia="仿宋_GB2312"/>
          <w:color w:val="000000"/>
          <w:sz w:val="32"/>
          <w:szCs w:val="24"/>
          <w:highlight w:val="none"/>
        </w:rPr>
        <w:t>万元，因公出国（境）费0万元，公务用车购置及运行费</w:t>
      </w:r>
      <w:r>
        <w:rPr>
          <w:rFonts w:hint="eastAsia" w:eastAsia="仿宋_GB2312"/>
          <w:color w:val="000000"/>
          <w:sz w:val="32"/>
          <w:szCs w:val="24"/>
          <w:highlight w:val="none"/>
          <w:lang w:val="en-US" w:eastAsia="zh-CN"/>
        </w:rPr>
        <w:t>19.52</w:t>
      </w:r>
      <w:r>
        <w:rPr>
          <w:rFonts w:hint="eastAsia" w:eastAsia="仿宋_GB2312"/>
          <w:color w:val="000000"/>
          <w:sz w:val="32"/>
          <w:szCs w:val="24"/>
          <w:highlight w:val="none"/>
        </w:rPr>
        <w:t>万元（其中，公务用车购置费0万元，公务用车运行费</w:t>
      </w:r>
      <w:r>
        <w:rPr>
          <w:rFonts w:hint="eastAsia" w:eastAsia="仿宋_GB2312"/>
          <w:color w:val="000000"/>
          <w:sz w:val="32"/>
          <w:szCs w:val="24"/>
          <w:highlight w:val="none"/>
          <w:lang w:val="en-US" w:eastAsia="zh-CN"/>
        </w:rPr>
        <w:t>19.52</w:t>
      </w:r>
      <w:r>
        <w:rPr>
          <w:rFonts w:hint="eastAsia" w:eastAsia="仿宋_GB2312"/>
          <w:color w:val="000000"/>
          <w:sz w:val="32"/>
          <w:szCs w:val="24"/>
          <w:highlight w:val="none"/>
        </w:rPr>
        <w:t>万元），未超预算</w:t>
      </w:r>
      <w:r>
        <w:rPr>
          <w:rFonts w:hint="eastAsia" w:eastAsia="仿宋_GB2312"/>
          <w:color w:val="000000"/>
          <w:sz w:val="32"/>
          <w:szCs w:val="24"/>
          <w:highlight w:val="none"/>
          <w:lang w:eastAsia="zh-CN"/>
        </w:rPr>
        <w:t>。</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一般公共预算财政拨款支出</w:t>
      </w:r>
      <w:r>
        <w:rPr>
          <w:rFonts w:hint="eastAsia" w:ascii="Times New Roman" w:hAnsi="Times New Roman" w:eastAsia="仿宋_GB2312"/>
          <w:sz w:val="32"/>
          <w:szCs w:val="24"/>
          <w:lang w:val="en-US" w:eastAsia="zh-CN"/>
        </w:rPr>
        <w:t>1699.76</w:t>
      </w:r>
      <w:r>
        <w:rPr>
          <w:rFonts w:hint="eastAsia" w:ascii="Times New Roman" w:hAnsi="Times New Roman" w:eastAsia="仿宋_GB2312"/>
          <w:sz w:val="32"/>
          <w:szCs w:val="24"/>
        </w:rPr>
        <w:t>万元，其中，基本支出</w:t>
      </w:r>
      <w:r>
        <w:rPr>
          <w:rFonts w:hint="eastAsia" w:ascii="Times New Roman" w:hAnsi="Times New Roman" w:eastAsia="仿宋_GB2312"/>
          <w:sz w:val="32"/>
          <w:szCs w:val="24"/>
          <w:lang w:val="en-US" w:eastAsia="zh-CN"/>
        </w:rPr>
        <w:t>1160.48</w:t>
      </w:r>
      <w:r>
        <w:rPr>
          <w:rFonts w:hint="eastAsia" w:ascii="Times New Roman" w:hAnsi="Times New Roman" w:eastAsia="仿宋_GB2312"/>
          <w:sz w:val="32"/>
          <w:szCs w:val="24"/>
        </w:rPr>
        <w:t>万元，项目支出</w:t>
      </w:r>
      <w:r>
        <w:rPr>
          <w:rFonts w:hint="eastAsia" w:ascii="Times New Roman" w:hAnsi="Times New Roman" w:eastAsia="仿宋_GB2312"/>
          <w:sz w:val="32"/>
          <w:szCs w:val="24"/>
          <w:lang w:val="en-US" w:eastAsia="zh-CN"/>
        </w:rPr>
        <w:t>539.28</w:t>
      </w:r>
      <w:r>
        <w:rPr>
          <w:rFonts w:hint="eastAsia" w:ascii="Times New Roman" w:hAnsi="Times New Roman" w:eastAsia="仿宋_GB2312"/>
          <w:sz w:val="32"/>
          <w:szCs w:val="24"/>
        </w:rPr>
        <w:t>万元。</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本年度基本支出</w:t>
      </w:r>
      <w:r>
        <w:rPr>
          <w:rFonts w:hint="eastAsia" w:ascii="Times New Roman" w:hAnsi="Times New Roman" w:eastAsia="仿宋_GB2312"/>
          <w:sz w:val="32"/>
          <w:szCs w:val="24"/>
          <w:lang w:val="en-US" w:eastAsia="zh-CN"/>
        </w:rPr>
        <w:t>1160.48</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68.27</w:t>
      </w:r>
      <w:r>
        <w:rPr>
          <w:rFonts w:hint="eastAsia" w:ascii="Times New Roman" w:hAnsi="Times New Roman" w:eastAsia="仿宋_GB2312"/>
          <w:sz w:val="32"/>
          <w:szCs w:val="24"/>
        </w:rPr>
        <w:t>%。其中，人员经费</w:t>
      </w:r>
      <w:r>
        <w:rPr>
          <w:rFonts w:hint="eastAsia" w:ascii="Times New Roman" w:hAnsi="Times New Roman" w:eastAsia="仿宋_GB2312"/>
          <w:sz w:val="32"/>
          <w:szCs w:val="24"/>
          <w:lang w:val="en-US" w:eastAsia="zh-CN"/>
        </w:rPr>
        <w:t>991.08</w:t>
      </w:r>
      <w:r>
        <w:rPr>
          <w:rFonts w:hint="eastAsia" w:ascii="Times New Roman" w:hAnsi="Times New Roman" w:eastAsia="仿宋_GB2312"/>
          <w:sz w:val="32"/>
          <w:szCs w:val="24"/>
        </w:rPr>
        <w:t>万元，主要包括基本工资、津贴补贴、奖金、社会保障缴费、其他工资福利支出、离休费、退休费、抚恤金、奖励金、住房公积金、其他对个人和家庭的补助支出；公用经费</w:t>
      </w:r>
      <w:r>
        <w:rPr>
          <w:rFonts w:hint="eastAsia" w:ascii="Times New Roman" w:hAnsi="Times New Roman" w:eastAsia="仿宋_GB2312"/>
          <w:sz w:val="32"/>
          <w:szCs w:val="24"/>
          <w:lang w:val="en-US" w:eastAsia="zh-CN"/>
        </w:rPr>
        <w:t>169.4</w:t>
      </w:r>
      <w:r>
        <w:rPr>
          <w:rFonts w:hint="eastAsia" w:ascii="Times New Roman" w:hAnsi="Times New Roman" w:eastAsia="仿宋_GB2312"/>
          <w:sz w:val="32"/>
          <w:szCs w:val="24"/>
        </w:rPr>
        <w:t>万元，主要包括办公费、印刷费、邮电费、差旅费、维修（护）费、会议费、培训费、公务接待费、劳务费、工会经费、福利费、公务用车运行维护费、其他交通费用、其他商品和服务支出。</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本年度项目支出</w:t>
      </w:r>
      <w:r>
        <w:rPr>
          <w:rFonts w:hint="eastAsia" w:ascii="Times New Roman" w:hAnsi="Times New Roman" w:eastAsia="仿宋_GB2312"/>
          <w:sz w:val="32"/>
          <w:szCs w:val="24"/>
          <w:lang w:val="en-US" w:eastAsia="zh-CN"/>
        </w:rPr>
        <w:t>539.28</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31.73</w:t>
      </w:r>
      <w:r>
        <w:rPr>
          <w:rFonts w:hint="eastAsia" w:ascii="Times New Roman" w:hAnsi="Times New Roman" w:eastAsia="仿宋_GB2312"/>
          <w:sz w:val="32"/>
          <w:szCs w:val="24"/>
        </w:rPr>
        <w:t>%，是指单位为完成特定行政工作任务或事业发展目标而发生的支出，其中：1、一般</w:t>
      </w:r>
      <w:r>
        <w:rPr>
          <w:rFonts w:hint="eastAsia" w:ascii="Times New Roman" w:hAnsi="Times New Roman" w:eastAsia="仿宋_GB2312"/>
          <w:sz w:val="32"/>
          <w:szCs w:val="24"/>
          <w:lang w:val="en-US" w:eastAsia="zh-CN"/>
        </w:rPr>
        <w:t>行政管理事务</w:t>
      </w:r>
      <w:bookmarkStart w:id="0" w:name="_GoBack"/>
      <w:bookmarkEnd w:id="0"/>
      <w:r>
        <w:rPr>
          <w:rFonts w:hint="eastAsia" w:ascii="Times New Roman" w:hAnsi="Times New Roman" w:eastAsia="仿宋_GB2312"/>
          <w:sz w:val="32"/>
          <w:szCs w:val="24"/>
        </w:rPr>
        <w:t>支出</w:t>
      </w:r>
      <w:r>
        <w:rPr>
          <w:rFonts w:hint="eastAsia" w:ascii="Times New Roman" w:hAnsi="Times New Roman" w:eastAsia="仿宋_GB2312"/>
          <w:sz w:val="32"/>
          <w:szCs w:val="24"/>
          <w:lang w:val="en-US" w:eastAsia="zh-CN"/>
        </w:rPr>
        <w:t>539.28</w:t>
      </w:r>
      <w:r>
        <w:rPr>
          <w:rFonts w:hint="eastAsia" w:ascii="Times New Roman" w:hAnsi="Times New Roman" w:eastAsia="仿宋_GB2312"/>
          <w:sz w:val="32"/>
          <w:szCs w:val="24"/>
        </w:rPr>
        <w:t xml:space="preserve">万元, </w:t>
      </w:r>
    </w:p>
    <w:p>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jc w:val="left"/>
        <w:outlineLvl w:val="0"/>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rPr>
        <w:t>202</w:t>
      </w:r>
      <w:r>
        <w:rPr>
          <w:rFonts w:hint="eastAsia" w:ascii="Times New Roman" w:hAnsi="Times New Roman" w:eastAsia="仿宋_GB2312"/>
          <w:color w:val="000000"/>
          <w:sz w:val="32"/>
          <w:szCs w:val="24"/>
          <w:lang w:val="en-US" w:eastAsia="zh-CN"/>
        </w:rPr>
        <w:t>3</w:t>
      </w:r>
      <w:r>
        <w:rPr>
          <w:rFonts w:hint="eastAsia" w:ascii="Times New Roman" w:hAnsi="Times New Roman" w:eastAsia="仿宋_GB2312"/>
          <w:color w:val="000000"/>
          <w:sz w:val="32"/>
          <w:szCs w:val="24"/>
        </w:rPr>
        <w:t>年</w:t>
      </w:r>
      <w:r>
        <w:rPr>
          <w:rFonts w:hint="eastAsia" w:ascii="Times New Roman" w:hAnsi="Times New Roman" w:eastAsia="仿宋_GB2312"/>
          <w:color w:val="000000"/>
          <w:sz w:val="32"/>
          <w:szCs w:val="24"/>
          <w:lang w:val="en-US" w:eastAsia="zh-CN"/>
        </w:rPr>
        <w:t>本单位无</w:t>
      </w:r>
      <w:r>
        <w:rPr>
          <w:rFonts w:hint="eastAsia" w:ascii="Times New Roman" w:hAnsi="Times New Roman" w:eastAsia="仿宋_GB2312"/>
          <w:color w:val="000000"/>
          <w:sz w:val="32"/>
          <w:szCs w:val="24"/>
        </w:rPr>
        <w:t>政府性基金预算财政拨款收入</w:t>
      </w:r>
      <w:r>
        <w:rPr>
          <w:rFonts w:hint="eastAsia" w:ascii="Times New Roman" w:hAnsi="Times New Roman" w:eastAsia="仿宋_GB2312"/>
          <w:color w:val="000000"/>
          <w:sz w:val="32"/>
          <w:szCs w:val="24"/>
          <w:lang w:val="en-US" w:eastAsia="zh-CN"/>
        </w:rPr>
        <w:t>支出。</w:t>
      </w:r>
    </w:p>
    <w:p>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rPr>
        <w:t>四、国有资本经营预算支出情况。</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rPr>
        <w:t>五、社会保险基金预算支出情况。</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highlight w:val="none"/>
        </w:rPr>
      </w:pPr>
      <w:r>
        <w:rPr>
          <w:rFonts w:hint="eastAsia" w:eastAsia="黑体"/>
          <w:sz w:val="32"/>
          <w:szCs w:val="24"/>
          <w:highlight w:val="none"/>
        </w:rPr>
        <w:t>六、部门整体支出绩效情况</w:t>
      </w:r>
    </w:p>
    <w:p>
      <w:pPr>
        <w:keepNext w:val="0"/>
        <w:keepLines w:val="0"/>
        <w:pageBreakBefore w:val="0"/>
        <w:numPr>
          <w:ilvl w:val="0"/>
          <w:numId w:val="0"/>
        </w:numPr>
        <w:pBdr>
          <w:bottom w:val="single" w:color="FFFFFF" w:sz="4" w:space="30"/>
        </w:pBdr>
        <w:tabs>
          <w:tab w:val="left" w:pos="1440"/>
        </w:tabs>
        <w:kinsoku/>
        <w:wordWrap/>
        <w:overflowPunct/>
        <w:topLinePunct w:val="0"/>
        <w:autoSpaceDE/>
        <w:autoSpaceDN/>
        <w:bidi w:val="0"/>
        <w:adjustRightInd/>
        <w:snapToGrid/>
        <w:spacing w:beforeAutospacing="0" w:afterAutospacing="0" w:line="560" w:lineRule="exact"/>
        <w:ind w:firstLine="602"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eastAsia="zh-CN" w:bidi="ar"/>
        </w:rPr>
        <w:t>（一）</w:t>
      </w:r>
      <w:r>
        <w:rPr>
          <w:rFonts w:hint="eastAsia" w:ascii="仿宋_GB2312" w:hAnsi="仿宋_GB2312" w:eastAsia="仿宋_GB2312" w:cs="仿宋_GB2312"/>
          <w:b/>
          <w:bCs/>
          <w:color w:val="000000"/>
          <w:kern w:val="0"/>
          <w:sz w:val="30"/>
          <w:szCs w:val="30"/>
          <w:lang w:bidi="ar"/>
        </w:rPr>
        <w:t>政治监督更加坚定自觉。</w:t>
      </w:r>
      <w:r>
        <w:rPr>
          <w:rFonts w:hint="eastAsia" w:ascii="仿宋_GB2312" w:hAnsi="仿宋_GB2312" w:eastAsia="仿宋_GB2312" w:cs="仿宋_GB2312"/>
          <w:color w:val="000000"/>
          <w:kern w:val="0"/>
          <w:sz w:val="30"/>
          <w:szCs w:val="30"/>
          <w:lang w:bidi="ar"/>
        </w:rPr>
        <w:t>把学习宣传贯彻党的二十大精神作为首要政治任务，深刻领悟“两个确立”，自觉践行“两个维护”。紧跟党中央重大决策部署开展监督；跟进监督违规举债虚假化债专项整治工作、居民自建房安全专项整治和“百日攻坚”行动，督促做实做牢经济社会发展安全。紧盯常态化疫情防控、森林防灭火、防汛抗旱等大战大考，全力配合</w:t>
      </w:r>
      <w:r>
        <w:rPr>
          <w:rFonts w:hint="eastAsia" w:ascii="仿宋_GB2312" w:hAnsi="仿宋_GB2312" w:eastAsia="仿宋_GB2312" w:cs="仿宋_GB2312"/>
          <w:sz w:val="30"/>
          <w:szCs w:val="30"/>
        </w:rPr>
        <w:t>盛大金禧非法集资风险处置工作，</w:t>
      </w:r>
      <w:r>
        <w:rPr>
          <w:rFonts w:hint="eastAsia" w:ascii="仿宋_GB2312" w:hAnsi="仿宋_GB2312" w:eastAsia="仿宋_GB2312" w:cs="仿宋_GB2312"/>
          <w:color w:val="000000"/>
          <w:kern w:val="0"/>
          <w:sz w:val="30"/>
          <w:szCs w:val="30"/>
          <w:lang w:bidi="ar"/>
        </w:rPr>
        <w:t>闻令而动，既“督”又“战”，科学精准问责。</w:t>
      </w:r>
      <w:r>
        <w:rPr>
          <w:rFonts w:hint="eastAsia" w:ascii="仿宋_GB2312" w:hAnsi="仿宋_GB2312" w:eastAsia="仿宋_GB2312" w:cs="仿宋_GB2312"/>
          <w:sz w:val="30"/>
          <w:szCs w:val="30"/>
        </w:rPr>
        <w:t>推动在全县树牢重品行、敢担当、抓落实的鲜明导向</w:t>
      </w:r>
      <w:r>
        <w:rPr>
          <w:rFonts w:hint="eastAsia" w:ascii="仿宋_GB2312" w:hAnsi="仿宋_GB2312" w:eastAsia="仿宋_GB2312" w:cs="仿宋_GB2312"/>
          <w:sz w:val="30"/>
          <w:szCs w:val="30"/>
          <w:lang w:eastAsia="zh-CN"/>
        </w:rPr>
        <w:t>。</w:t>
      </w:r>
    </w:p>
    <w:p>
      <w:pPr>
        <w:keepNext w:val="0"/>
        <w:keepLines w:val="0"/>
        <w:pageBreakBefore w:val="0"/>
        <w:numPr>
          <w:ilvl w:val="0"/>
          <w:numId w:val="0"/>
        </w:numPr>
        <w:pBdr>
          <w:bottom w:val="single" w:color="FFFFFF" w:sz="4" w:space="30"/>
        </w:pBdr>
        <w:tabs>
          <w:tab w:val="left" w:pos="1440"/>
        </w:tabs>
        <w:kinsoku/>
        <w:wordWrap/>
        <w:overflowPunct/>
        <w:topLinePunct w:val="0"/>
        <w:autoSpaceDE/>
        <w:autoSpaceDN/>
        <w:bidi w:val="0"/>
        <w:adjustRightInd/>
        <w:snapToGrid/>
        <w:spacing w:beforeAutospacing="0" w:afterAutospacing="0" w:line="560" w:lineRule="exact"/>
        <w:ind w:firstLine="602" w:firstLineChars="200"/>
        <w:textAlignment w:val="baseline"/>
        <w:rPr>
          <w:rFonts w:hint="eastAsia" w:ascii="仿宋_GB2312" w:hAnsi="仿宋_GB2312" w:eastAsia="仿宋_GB2312" w:cs="仿宋_GB2312"/>
          <w:kern w:val="0"/>
          <w:sz w:val="30"/>
          <w:szCs w:val="30"/>
          <w:lang w:bidi="ar"/>
        </w:rPr>
      </w:pPr>
      <w:r>
        <w:rPr>
          <w:rFonts w:hint="eastAsia" w:ascii="仿宋_GB2312" w:hAnsi="仿宋_GB2312" w:eastAsia="仿宋_GB2312" w:cs="仿宋_GB2312"/>
          <w:b/>
          <w:bCs/>
          <w:color w:val="000000"/>
          <w:kern w:val="0"/>
          <w:sz w:val="30"/>
          <w:szCs w:val="30"/>
          <w:lang w:eastAsia="zh-CN" w:bidi="ar"/>
        </w:rPr>
        <w:t>（二）</w:t>
      </w:r>
      <w:r>
        <w:rPr>
          <w:rFonts w:hint="eastAsia" w:ascii="仿宋_GB2312" w:hAnsi="仿宋_GB2312" w:eastAsia="仿宋_GB2312" w:cs="仿宋_GB2312"/>
          <w:b/>
          <w:bCs/>
          <w:color w:val="000000"/>
          <w:kern w:val="0"/>
          <w:sz w:val="30"/>
          <w:szCs w:val="30"/>
          <w:lang w:bidi="ar"/>
        </w:rPr>
        <w:t>综合治腐效应持续释放。</w:t>
      </w:r>
      <w:r>
        <w:rPr>
          <w:rFonts w:hint="eastAsia" w:ascii="仿宋_GB2312" w:hAnsi="仿宋_GB2312" w:eastAsia="仿宋_GB2312" w:cs="仿宋_GB2312"/>
          <w:kern w:val="0"/>
          <w:sz w:val="30"/>
          <w:szCs w:val="30"/>
          <w:lang w:bidi="ar"/>
        </w:rPr>
        <w:t>保持反腐败高压态势。我县大案要案办理水平稳居全市第一方阵。</w:t>
      </w:r>
      <w:r>
        <w:rPr>
          <w:rFonts w:hint="eastAsia" w:ascii="仿宋_GB2312" w:hAnsi="仿宋_GB2312" w:eastAsia="仿宋_GB2312" w:cs="仿宋_GB2312"/>
          <w:sz w:val="30"/>
          <w:szCs w:val="30"/>
        </w:rPr>
        <w:t>“镜鉴”以案促改专项活动扎实有效。认真开展集体谈心谈话、警示教育、专题民主生活会等“七个一”活动，组织集中观看警示教育片</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0场（次），开展各级谈心谈话1</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00人次，讲授廉政党课</w:t>
      </w:r>
      <w:r>
        <w:rPr>
          <w:rFonts w:hint="eastAsia" w:ascii="仿宋_GB2312" w:hAnsi="仿宋_GB2312" w:eastAsia="仿宋_GB2312" w:cs="仿宋_GB2312"/>
          <w:sz w:val="30"/>
          <w:szCs w:val="30"/>
          <w:lang w:val="en-US" w:eastAsia="zh-CN"/>
        </w:rPr>
        <w:t>56</w:t>
      </w:r>
      <w:r>
        <w:rPr>
          <w:rFonts w:hint="eastAsia" w:ascii="仿宋_GB2312" w:hAnsi="仿宋_GB2312" w:eastAsia="仿宋_GB2312" w:cs="仿宋_GB2312"/>
          <w:sz w:val="30"/>
          <w:szCs w:val="30"/>
        </w:rPr>
        <w:t>堂，</w:t>
      </w:r>
      <w:r>
        <w:rPr>
          <w:rFonts w:hint="eastAsia" w:ascii="仿宋_GB2312" w:hAnsi="仿宋_GB2312" w:eastAsia="仿宋_GB2312" w:cs="仿宋_GB2312"/>
          <w:kern w:val="0"/>
          <w:sz w:val="30"/>
          <w:szCs w:val="30"/>
          <w:lang w:bidi="ar"/>
        </w:rPr>
        <w:t>全县崇廉拒腐的氛围更加浓厚，不敢腐、不能腐、不</w:t>
      </w:r>
      <w:r>
        <w:rPr>
          <w:rFonts w:hint="eastAsia" w:ascii="仿宋_GB2312" w:hAnsi="仿宋_GB2312" w:eastAsia="仿宋_GB2312" w:cs="仿宋_GB2312"/>
          <w:kern w:val="0"/>
          <w:sz w:val="30"/>
          <w:szCs w:val="30"/>
          <w:lang w:eastAsia="zh-CN" w:bidi="ar"/>
        </w:rPr>
        <w:t>想</w:t>
      </w:r>
      <w:r>
        <w:rPr>
          <w:rFonts w:hint="eastAsia" w:ascii="仿宋_GB2312" w:hAnsi="仿宋_GB2312" w:eastAsia="仿宋_GB2312" w:cs="仿宋_GB2312"/>
          <w:kern w:val="0"/>
          <w:sz w:val="30"/>
          <w:szCs w:val="30"/>
          <w:lang w:bidi="ar"/>
        </w:rPr>
        <w:t>腐的“三不”一体综合治理效应加快显现。</w:t>
      </w:r>
    </w:p>
    <w:p>
      <w:pPr>
        <w:keepNext w:val="0"/>
        <w:keepLines w:val="0"/>
        <w:pageBreakBefore w:val="0"/>
        <w:numPr>
          <w:ilvl w:val="0"/>
          <w:numId w:val="0"/>
        </w:numPr>
        <w:pBdr>
          <w:bottom w:val="single" w:color="FFFFFF" w:sz="4" w:space="30"/>
        </w:pBdr>
        <w:tabs>
          <w:tab w:val="left" w:pos="1440"/>
        </w:tabs>
        <w:kinsoku/>
        <w:wordWrap/>
        <w:overflowPunct/>
        <w:topLinePunct w:val="0"/>
        <w:autoSpaceDE/>
        <w:autoSpaceDN/>
        <w:bidi w:val="0"/>
        <w:adjustRightInd/>
        <w:snapToGrid/>
        <w:spacing w:before="0" w:beforeAutospacing="0" w:afterAutospacing="0" w:line="560" w:lineRule="exact"/>
        <w:ind w:firstLine="602" w:firstLineChars="200"/>
        <w:jc w:val="both"/>
        <w:textAlignment w:val="baseline"/>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b/>
          <w:bCs/>
          <w:color w:val="000000"/>
          <w:kern w:val="0"/>
          <w:sz w:val="30"/>
          <w:szCs w:val="30"/>
          <w:lang w:eastAsia="zh-CN" w:bidi="ar"/>
        </w:rPr>
        <w:t>（三）</w:t>
      </w:r>
      <w:r>
        <w:rPr>
          <w:rFonts w:hint="eastAsia" w:ascii="仿宋_GB2312" w:hAnsi="仿宋_GB2312" w:eastAsia="仿宋_GB2312" w:cs="仿宋_GB2312"/>
          <w:b/>
          <w:bCs/>
          <w:color w:val="000000"/>
          <w:kern w:val="0"/>
          <w:sz w:val="30"/>
          <w:szCs w:val="30"/>
          <w:lang w:bidi="ar"/>
        </w:rPr>
        <w:t>纪检监察自身建设不断加强。</w:t>
      </w:r>
      <w:r>
        <w:rPr>
          <w:rFonts w:hint="eastAsia" w:ascii="仿宋_GB2312" w:hAnsi="仿宋_GB2312" w:eastAsia="仿宋_GB2312" w:cs="仿宋_GB2312"/>
          <w:color w:val="000000"/>
          <w:kern w:val="0"/>
          <w:sz w:val="30"/>
          <w:szCs w:val="30"/>
          <w:lang w:bidi="ar"/>
        </w:rPr>
        <w:t>保持对党绝对忠诚，坚持第一议题制度，举办理论学习中心组集中学习1</w:t>
      </w:r>
      <w:r>
        <w:rPr>
          <w:rFonts w:hint="eastAsia" w:ascii="仿宋_GB2312" w:hAnsi="仿宋_GB2312" w:eastAsia="仿宋_GB2312" w:cs="仿宋_GB2312"/>
          <w:color w:val="000000"/>
          <w:kern w:val="0"/>
          <w:sz w:val="30"/>
          <w:szCs w:val="30"/>
          <w:lang w:val="en-US" w:eastAsia="zh-CN" w:bidi="ar"/>
        </w:rPr>
        <w:t>2</w:t>
      </w:r>
      <w:r>
        <w:rPr>
          <w:rFonts w:hint="eastAsia" w:ascii="仿宋_GB2312" w:hAnsi="仿宋_GB2312" w:eastAsia="仿宋_GB2312" w:cs="仿宋_GB2312"/>
          <w:color w:val="000000"/>
          <w:kern w:val="0"/>
          <w:sz w:val="30"/>
          <w:szCs w:val="30"/>
          <w:lang w:bidi="ar"/>
        </w:rPr>
        <w:t>次，不断强化政治纪律规矩意识，加强干部斗争精神和斗争本领养成。规范监督执纪执法行为。深入开展办案安全集中纠治专项活动，高质量完成市纪委监委监督调研反馈问题整改，依规依纪依法进行监督、执纪执法，维护全县发展大局，秉持社会公平正义。多方关心干部成长。组织参加各类办案安全及业务知识培训400多人次，选派人员赴上级纪委监委参与办理大要案，在实战中锻炼办案能力，全年争取县委交流提拔重用干部</w:t>
      </w:r>
      <w:r>
        <w:rPr>
          <w:rFonts w:hint="eastAsia" w:ascii="仿宋_GB2312" w:hAnsi="仿宋_GB2312" w:eastAsia="仿宋_GB2312" w:cs="仿宋_GB2312"/>
          <w:color w:val="000000"/>
          <w:kern w:val="0"/>
          <w:sz w:val="30"/>
          <w:szCs w:val="30"/>
          <w:lang w:val="en-US" w:eastAsia="zh-CN" w:bidi="ar"/>
        </w:rPr>
        <w:t>20</w:t>
      </w:r>
      <w:r>
        <w:rPr>
          <w:rFonts w:hint="eastAsia" w:ascii="仿宋_GB2312" w:hAnsi="仿宋_GB2312" w:eastAsia="仿宋_GB2312" w:cs="仿宋_GB2312"/>
          <w:color w:val="000000"/>
          <w:kern w:val="0"/>
          <w:sz w:val="30"/>
          <w:szCs w:val="30"/>
          <w:lang w:bidi="ar"/>
        </w:rPr>
        <w:t xml:space="preserve">名。坚持刀刃向内，严守纪检监察干部“十二条负面清单”。 </w:t>
      </w:r>
    </w:p>
    <w:p>
      <w:pPr>
        <w:pStyle w:val="9"/>
        <w:spacing w:beforeLines="0" w:afterLines="0" w:line="570" w:lineRule="exact"/>
        <w:ind w:firstLine="640"/>
        <w:jc w:val="left"/>
        <w:outlineLvl w:val="0"/>
        <w:rPr>
          <w:rFonts w:hint="eastAsia" w:eastAsia="仿宋_GB2312"/>
          <w:spacing w:val="-6"/>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suppressLineNumbers w:val="0"/>
        <w:pBdr>
          <w:top w:val="none" w:color="auto" w:sz="0" w:space="0"/>
          <w:left w:val="none" w:color="auto" w:sz="0" w:space="0"/>
          <w:bottom w:val="single" w:color="FFFFFF" w:sz="4" w:space="29"/>
          <w:right w:val="none" w:color="auto" w:sz="0" w:space="0"/>
        </w:pBdr>
        <w:tabs>
          <w:tab w:val="left" w:pos="144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rPr>
      </w:pPr>
      <w:r>
        <w:rPr>
          <w:rFonts w:hint="eastAsia" w:ascii="仿宋_GB2312" w:hAnsi="仿宋_GB2312" w:eastAsia="仿宋_GB2312" w:cs="Times New Roman"/>
          <w:sz w:val="32"/>
          <w:szCs w:val="32"/>
          <w:lang w:val="en-US" w:eastAsia="zh-CN"/>
        </w:rPr>
        <w:t>1.预算编制不够明确和细化，部分科目年初预算与年底决算有差距；2.固定资产管理水平有待提高；3.</w:t>
      </w:r>
      <w:r>
        <w:rPr>
          <w:rFonts w:hint="eastAsia" w:ascii="仿宋_GB2312" w:hAnsi="仿宋_GB2312" w:eastAsia="仿宋_GB2312" w:cs="仿宋_GB2312"/>
          <w:kern w:val="2"/>
          <w:sz w:val="30"/>
          <w:szCs w:val="30"/>
          <w:lang w:val="en-US" w:eastAsia="zh-CN" w:bidi="ar"/>
        </w:rPr>
        <w:t>绩效评价工作机制不够完善，工作开展不够及时有力。主要原因是没有专门的人员负责此项工作，兼职人员工作专业度不够。</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keepNext w:val="0"/>
        <w:keepLines w:val="0"/>
        <w:pageBreakBefore w:val="0"/>
        <w:widowControl w:val="0"/>
        <w:suppressLineNumbers w:val="0"/>
        <w:pBdr>
          <w:top w:val="none" w:color="auto" w:sz="0" w:space="0"/>
          <w:left w:val="none" w:color="auto" w:sz="0" w:space="0"/>
          <w:bottom w:val="single" w:color="FFFFFF" w:sz="4" w:space="29"/>
          <w:right w:val="none" w:color="auto" w:sz="0" w:space="0"/>
        </w:pBdr>
        <w:tabs>
          <w:tab w:val="left" w:pos="1440"/>
        </w:tabs>
        <w:kinsoku/>
        <w:wordWrap/>
        <w:overflowPunct/>
        <w:topLinePunct w:val="0"/>
        <w:autoSpaceDE/>
        <w:autoSpaceDN/>
        <w:bidi w:val="0"/>
        <w:adjustRightInd/>
        <w:snapToGrid/>
        <w:spacing w:before="0" w:beforeAutospacing="0" w:after="0" w:afterAutospacing="0" w:line="56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1、严格把好资金出口关，缩减开支，厉行节约；</w:t>
      </w:r>
    </w:p>
    <w:p>
      <w:pPr>
        <w:keepNext w:val="0"/>
        <w:keepLines w:val="0"/>
        <w:pageBreakBefore w:val="0"/>
        <w:widowControl w:val="0"/>
        <w:suppressLineNumbers w:val="0"/>
        <w:pBdr>
          <w:top w:val="none" w:color="auto" w:sz="0" w:space="0"/>
          <w:left w:val="none" w:color="auto" w:sz="0" w:space="0"/>
          <w:bottom w:val="single" w:color="FFFFFF" w:sz="4" w:space="29"/>
          <w:right w:val="none" w:color="auto" w:sz="0" w:space="0"/>
        </w:pBdr>
        <w:tabs>
          <w:tab w:val="left" w:pos="1440"/>
        </w:tabs>
        <w:kinsoku/>
        <w:wordWrap/>
        <w:overflowPunct/>
        <w:topLinePunct w:val="0"/>
        <w:autoSpaceDE/>
        <w:autoSpaceDN/>
        <w:bidi w:val="0"/>
        <w:adjustRightInd/>
        <w:snapToGrid/>
        <w:spacing w:before="0" w:beforeAutospacing="0" w:after="0" w:afterAutospacing="0" w:line="56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2、年初预算以上年度决算数为参考，并结合本年度的计划，提高年初预算精准度；</w:t>
      </w:r>
    </w:p>
    <w:p>
      <w:pPr>
        <w:keepNext w:val="0"/>
        <w:keepLines w:val="0"/>
        <w:pageBreakBefore w:val="0"/>
        <w:widowControl w:val="0"/>
        <w:suppressLineNumbers w:val="0"/>
        <w:pBdr>
          <w:top w:val="none" w:color="auto" w:sz="0" w:space="0"/>
          <w:left w:val="none" w:color="auto" w:sz="0" w:space="0"/>
          <w:bottom w:val="single" w:color="FFFFFF" w:sz="4" w:space="29"/>
          <w:right w:val="none" w:color="auto" w:sz="0" w:space="0"/>
        </w:pBdr>
        <w:tabs>
          <w:tab w:val="left" w:pos="1440"/>
        </w:tabs>
        <w:kinsoku/>
        <w:wordWrap/>
        <w:overflowPunct/>
        <w:topLinePunct w:val="0"/>
        <w:autoSpaceDE/>
        <w:autoSpaceDN/>
        <w:bidi w:val="0"/>
        <w:adjustRightInd/>
        <w:snapToGrid/>
        <w:spacing w:before="0" w:beforeAutospacing="0" w:after="0" w:afterAutospacing="0" w:line="56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3、建立健全绩效评价工作机制，开展绩效评价工作相关培训学习或进行先进典型案例分析，提高业务水平。</w:t>
      </w:r>
    </w:p>
    <w:p>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16" w:firstLineChars="200"/>
        <w:jc w:val="left"/>
        <w:rPr>
          <w:rFonts w:hint="default" w:ascii="Times New Roman" w:hAnsi="Times New Roman" w:eastAsia="仿宋_GB2312"/>
          <w:spacing w:val="-6"/>
          <w:sz w:val="32"/>
          <w:szCs w:val="24"/>
          <w:lang w:val="en-US" w:eastAsia="zh-CN"/>
        </w:rPr>
      </w:pPr>
      <w:r>
        <w:rPr>
          <w:rFonts w:hint="default" w:ascii="Times New Roman" w:hAnsi="Times New Roman" w:eastAsia="仿宋_GB2312"/>
          <w:spacing w:val="-6"/>
          <w:sz w:val="32"/>
          <w:szCs w:val="24"/>
          <w:lang w:val="en-US" w:eastAsia="zh-CN"/>
        </w:rPr>
        <w:t>根据部门整体支出绩效评价指标体系，我单位202</w:t>
      </w:r>
      <w:r>
        <w:rPr>
          <w:rFonts w:hint="eastAsia" w:ascii="Times New Roman" w:hAnsi="Times New Roman" w:eastAsia="仿宋_GB2312"/>
          <w:spacing w:val="-6"/>
          <w:sz w:val="32"/>
          <w:szCs w:val="24"/>
          <w:lang w:val="en-US" w:eastAsia="zh-CN"/>
        </w:rPr>
        <w:t>3</w:t>
      </w:r>
      <w:r>
        <w:rPr>
          <w:rFonts w:hint="default" w:ascii="Times New Roman" w:hAnsi="Times New Roman" w:eastAsia="仿宋_GB2312"/>
          <w:spacing w:val="-6"/>
          <w:sz w:val="32"/>
          <w:szCs w:val="24"/>
          <w:lang w:val="en-US" w:eastAsia="zh-CN"/>
        </w:rPr>
        <w:t>年度评价得分为</w:t>
      </w:r>
      <w:r>
        <w:rPr>
          <w:rFonts w:hint="eastAsia" w:eastAsia="仿宋_GB2312"/>
          <w:spacing w:val="-6"/>
          <w:sz w:val="32"/>
          <w:szCs w:val="24"/>
          <w:lang w:val="en-US" w:eastAsia="zh-CN"/>
        </w:rPr>
        <w:t>100</w:t>
      </w:r>
      <w:r>
        <w:rPr>
          <w:rFonts w:hint="default" w:ascii="Times New Roman" w:hAnsi="Times New Roman" w:eastAsia="仿宋_GB2312"/>
          <w:spacing w:val="-6"/>
          <w:sz w:val="32"/>
          <w:szCs w:val="24"/>
          <w:lang w:val="en-US" w:eastAsia="zh-CN"/>
        </w:rPr>
        <w:t>分。部门决算和部门预算编报通过县财政局审核批示，下达文件后，按照预决算公开的要求在政府网上和财政局网站进行了公示，增强了预决算执行情况的透明度</w:t>
      </w:r>
      <w:r>
        <w:rPr>
          <w:rFonts w:hint="eastAsia" w:ascii="Times New Roman" w:hAnsi="Times New Roman" w:eastAsia="仿宋_GB2312"/>
          <w:spacing w:val="-6"/>
          <w:sz w:val="32"/>
          <w:szCs w:val="24"/>
          <w:lang w:val="en-US" w:eastAsia="zh-CN"/>
        </w:rPr>
        <w:t>。</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keepNext w:val="0"/>
        <w:keepLines w:val="0"/>
        <w:pageBreakBefore w:val="0"/>
        <w:widowControl w:val="0"/>
        <w:kinsoku/>
        <w:wordWrap/>
        <w:overflowPunct/>
        <w:topLinePunct w:val="0"/>
        <w:autoSpaceDE/>
        <w:autoSpaceDN/>
        <w:bidi w:val="0"/>
        <w:adjustRightInd/>
        <w:snapToGrid/>
        <w:spacing w:beforeLines="0" w:beforeAutospacing="0" w:afterLines="0" w:line="570" w:lineRule="exact"/>
        <w:ind w:firstLine="640" w:firstLineChars="200"/>
        <w:jc w:val="both"/>
        <w:textAlignment w:val="auto"/>
        <w:rPr>
          <w:rFonts w:hint="default" w:ascii="Times New Roman" w:hAnsi="Times New Roman" w:eastAsia="仿宋_GB2312" w:cstheme="minorBidi"/>
          <w:spacing w:val="-6"/>
          <w:kern w:val="2"/>
          <w:sz w:val="32"/>
          <w:szCs w:val="24"/>
          <w:lang w:val="en-US" w:eastAsia="zh-CN" w:bidi="ar-SA"/>
        </w:rPr>
      </w:pPr>
      <w:r>
        <w:rPr>
          <w:rFonts w:hint="default" w:ascii="Times New Roman" w:hAnsi="Times New Roman" w:eastAsia="仿宋_GB2312"/>
          <w:color w:val="000000"/>
          <w:sz w:val="32"/>
          <w:szCs w:val="24"/>
        </w:rPr>
        <w:t>无</w:t>
      </w:r>
    </w:p>
    <w:p>
      <w:pPr>
        <w:spacing w:beforeLines="0" w:afterLines="0" w:line="570" w:lineRule="exact"/>
        <w:ind w:firstLine="640" w:firstLineChars="200"/>
        <w:jc w:val="both"/>
        <w:rPr>
          <w:rFonts w:hint="default" w:ascii="Times New Roman" w:hAnsi="Times New Roman" w:eastAsia="仿宋_GB2312"/>
          <w:color w:val="000000"/>
          <w:sz w:val="32"/>
          <w:szCs w:val="24"/>
        </w:rPr>
      </w:pPr>
    </w:p>
    <w:p>
      <w:pPr>
        <w:spacing w:beforeLines="0" w:afterLines="0" w:line="570" w:lineRule="exact"/>
        <w:ind w:firstLine="640" w:firstLineChars="200"/>
        <w:jc w:val="both"/>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附件：1、部门整体支出绩效评价基础数据表</w:t>
      </w:r>
    </w:p>
    <w:p>
      <w:pPr>
        <w:spacing w:beforeLines="0" w:afterLines="0" w:line="570" w:lineRule="exact"/>
        <w:ind w:firstLine="1600" w:firstLineChars="500"/>
        <w:jc w:val="both"/>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2、部门整体支出绩效自评表</w:t>
      </w:r>
    </w:p>
    <w:p>
      <w:pPr>
        <w:spacing w:beforeLines="0" w:afterLines="0" w:line="570" w:lineRule="exact"/>
        <w:ind w:firstLine="1600" w:firstLineChars="500"/>
        <w:jc w:val="both"/>
        <w:rPr>
          <w:rFonts w:hint="eastAsia" w:ascii="Times New Roman" w:hAnsi="Times New Roman" w:eastAsia="仿宋_GB2312"/>
          <w:color w:val="000000"/>
          <w:sz w:val="32"/>
          <w:szCs w:val="24"/>
          <w:lang w:eastAsia="zh-CN"/>
        </w:rPr>
      </w:pPr>
      <w:r>
        <w:rPr>
          <w:rFonts w:hint="default" w:ascii="Times New Roman" w:hAnsi="Times New Roman" w:eastAsia="仿宋_GB2312"/>
          <w:color w:val="000000"/>
          <w:sz w:val="32"/>
          <w:szCs w:val="24"/>
        </w:rPr>
        <w:t>3、项目支出绩效</w:t>
      </w:r>
      <w:r>
        <w:rPr>
          <w:rFonts w:hint="eastAsia" w:ascii="Times New Roman" w:hAnsi="Times New Roman" w:eastAsia="仿宋_GB2312"/>
          <w:color w:val="000000"/>
          <w:sz w:val="32"/>
          <w:szCs w:val="24"/>
          <w:lang w:eastAsia="zh-CN"/>
        </w:rPr>
        <w:t>自评报告</w:t>
      </w:r>
    </w:p>
    <w:p>
      <w:pPr>
        <w:numPr>
          <w:ilvl w:val="0"/>
          <w:numId w:val="3"/>
        </w:numPr>
        <w:spacing w:beforeLines="0" w:afterLines="0" w:line="570" w:lineRule="exact"/>
        <w:ind w:firstLine="1600" w:firstLineChars="500"/>
        <w:jc w:val="both"/>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项目支出绩效自评表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1600" w:firstLineChars="500"/>
        <w:textAlignment w:val="auto"/>
        <w:rPr>
          <w:rFonts w:hint="eastAsia" w:ascii="黑体" w:hAnsi="黑体" w:eastAsia="黑体" w:cs="黑体"/>
          <w:sz w:val="32"/>
          <w:szCs w:val="32"/>
        </w:rPr>
      </w:pPr>
      <w:r>
        <w:rPr>
          <w:rFonts w:hint="eastAsia" w:ascii="Times New Roman" w:hAnsi="Times New Roman" w:eastAsia="仿宋_GB2312"/>
          <w:color w:val="000000"/>
          <w:sz w:val="32"/>
          <w:szCs w:val="24"/>
          <w:lang w:val="en-US" w:eastAsia="zh-CN"/>
        </w:rPr>
        <w:t>5、</w:t>
      </w:r>
      <w:r>
        <w:rPr>
          <w:rFonts w:hint="eastAsia" w:ascii="Times New Roman" w:hAnsi="Times New Roman" w:eastAsia="仿宋_GB2312"/>
          <w:color w:val="000000"/>
          <w:sz w:val="32"/>
          <w:szCs w:val="24"/>
          <w:lang w:eastAsia="zh-CN"/>
        </w:rPr>
        <w:t>预算绩效管理工作负责人名册</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79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79.79%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1082.14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1189.6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1160.48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77.3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12.5</w:t>
            </w:r>
            <w:r>
              <w:rPr>
                <w:rFonts w:hint="eastAsia" w:ascii="Times New Roman" w:hAnsi="Times New Roman" w:eastAsia="仿宋_GB2312"/>
                <w:b w:val="0"/>
                <w:bCs w:val="0"/>
                <w:color w:val="auto"/>
                <w:kern w:val="0"/>
                <w:lang w:val="en-US" w:eastAsia="zh-CN"/>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10.66</w:t>
            </w:r>
            <w:r>
              <w:rPr>
                <w:rFonts w:hint="eastAsia" w:ascii="Times New Roman" w:hAnsi="Times New Roman" w:eastAsia="仿宋_GB2312"/>
                <w:b w:val="0"/>
                <w:bCs w:val="0"/>
                <w:color w:val="auto"/>
                <w:kern w:val="0"/>
                <w:lang w:val="en-US" w:eastAsia="zh-CN"/>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42.4</w:t>
            </w:r>
            <w:r>
              <w:rPr>
                <w:rFonts w:hint="eastAsia" w:asciiTheme="minorEastAsia" w:hAnsiTheme="minorEastAsia" w:eastAsiaTheme="minorEastAsia" w:cstheme="minorEastAsia"/>
                <w:b w:val="0"/>
                <w:bCs w:val="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35.99</w:t>
            </w:r>
            <w:r>
              <w:rPr>
                <w:rFonts w:hint="eastAsia" w:asciiTheme="minorEastAsia" w:hAnsiTheme="minorEastAsia" w:eastAsiaTheme="minorEastAsia" w:cstheme="minorEastAsia"/>
                <w:b w:val="0"/>
                <w:bCs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0.35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11.44</w:t>
            </w:r>
            <w:r>
              <w:rPr>
                <w:rFonts w:hint="eastAsia" w:ascii="Times New Roman" w:hAnsi="Times New Roman" w:eastAsia="仿宋_GB2312"/>
                <w:b w:val="0"/>
                <w:bCs w:val="0"/>
                <w:color w:val="auto"/>
                <w:kern w:val="0"/>
                <w:lang w:val="en-US" w:eastAsia="zh-CN"/>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18.84</w:t>
            </w:r>
            <w:r>
              <w:rPr>
                <w:rFonts w:hint="eastAsia" w:asciiTheme="minorEastAsia" w:hAnsiTheme="minorEastAsia" w:eastAsiaTheme="minorEastAsia" w:cstheme="minorEastAsia"/>
                <w:b w:val="0"/>
                <w:bCs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仿宋_GB2312" w:cstheme="minorBidi"/>
                <w:b w:val="0"/>
                <w:bCs w:val="0"/>
                <w:color w:val="auto"/>
                <w:kern w:val="0"/>
                <w:sz w:val="21"/>
                <w:szCs w:val="24"/>
                <w:lang w:val="en-US" w:eastAsia="zh-CN" w:bidi="ar-SA"/>
              </w:rPr>
            </w:pPr>
            <w:r>
              <w:rPr>
                <w:rFonts w:hint="eastAsia" w:eastAsia="仿宋_GB2312"/>
                <w:b w:val="0"/>
                <w:bCs w:val="0"/>
                <w:color w:val="auto"/>
                <w:kern w:val="0"/>
                <w:lang w:val="en-US" w:eastAsia="zh-CN"/>
              </w:rPr>
              <w:t>4.39</w:t>
            </w:r>
            <w:r>
              <w:rPr>
                <w:rFonts w:hint="eastAsia" w:ascii="Times New Roman" w:hAnsi="Times New Roman" w:eastAsia="仿宋_GB2312"/>
                <w:b w:val="0"/>
                <w:bCs w:val="0"/>
                <w:color w:val="auto"/>
                <w:kern w:val="0"/>
                <w:lang w:val="en-US" w:eastAsia="zh-CN"/>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8.48</w:t>
            </w:r>
            <w:r>
              <w:rPr>
                <w:rFonts w:hint="eastAsia" w:asciiTheme="minorEastAsia" w:hAnsiTheme="minorEastAsia" w:eastAsiaTheme="minorEastAsia" w:cstheme="minorEastAsia"/>
                <w:b w:val="0"/>
                <w:bCs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仿宋_GB2312" w:cstheme="minorBidi"/>
                <w:color w:val="auto"/>
                <w:kern w:val="0"/>
                <w:sz w:val="21"/>
                <w:szCs w:val="24"/>
                <w:lang w:val="en-US" w:eastAsia="zh-CN" w:bidi="ar-SA"/>
              </w:rPr>
            </w:pPr>
            <w:r>
              <w:rPr>
                <w:rFonts w:hint="eastAsia" w:ascii="Times New Roman" w:hAnsi="Times New Roman" w:eastAsia="仿宋_GB2312"/>
                <w:color w:val="auto"/>
                <w:kern w:val="0"/>
                <w:lang w:val="en-US" w:eastAsia="zh-CN"/>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imes New Roman" w:hAnsi="Times New Roman" w:eastAsia="仿宋_GB2312" w:cstheme="minorBidi"/>
                <w:color w:val="auto"/>
                <w:kern w:val="0"/>
                <w:sz w:val="21"/>
                <w:szCs w:val="24"/>
                <w:lang w:val="en-US" w:eastAsia="zh-CN" w:bidi="ar-SA"/>
              </w:rPr>
            </w:pPr>
            <w:r>
              <w:rPr>
                <w:rFonts w:hint="eastAsia" w:eastAsia="仿宋_GB2312"/>
                <w:color w:val="auto"/>
                <w:kern w:val="0"/>
                <w:lang w:val="en-US" w:eastAsia="zh-CN"/>
              </w:rPr>
              <w:t>4.39</w:t>
            </w:r>
            <w:r>
              <w:rPr>
                <w:rFonts w:hint="eastAsia" w:ascii="Times New Roman" w:hAnsi="Times New Roman" w:eastAsia="仿宋_GB2312"/>
                <w:color w:val="auto"/>
                <w:kern w:val="0"/>
                <w:lang w:val="en-US" w:eastAsia="zh-CN"/>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8.48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eastAsia="仿宋_GB2312"/>
                <w:color w:val="auto"/>
                <w:kern w:val="0"/>
                <w:lang w:val="en-US" w:eastAsia="zh-CN"/>
              </w:rPr>
              <w:t>7.05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eastAsia="仿宋_GB2312"/>
                <w:color w:val="auto"/>
                <w:kern w:val="0"/>
                <w:lang w:val="en-US" w:eastAsia="zh-CN"/>
              </w:rPr>
              <w:t>603.56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948.64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539.28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val="0"/>
                <w:bCs w:val="0"/>
                <w:sz w:val="24"/>
                <w:szCs w:val="24"/>
                <w:lang w:val="en-US" w:eastAsia="zh-CN"/>
              </w:rPr>
              <w:t>29.12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29.12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压缩一般性支出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sz w:val="32"/>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7723317</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0"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双牌县</w:t>
            </w:r>
            <w:r>
              <w:rPr>
                <w:rFonts w:hint="eastAsia" w:asciiTheme="minorEastAsia" w:hAnsiTheme="minorEastAsia" w:eastAsiaTheme="minorEastAsia" w:cstheme="minorEastAsia"/>
                <w:color w:val="000000"/>
                <w:sz w:val="24"/>
                <w:szCs w:val="24"/>
                <w:lang w:eastAsia="zh-CN"/>
              </w:rPr>
              <w:t>中共双牌县纪律检查委员会</w:t>
            </w:r>
            <w:r>
              <w:rPr>
                <w:rFonts w:hint="eastAsia" w:asciiTheme="minorEastAsia" w:hAnsiTheme="minorEastAsia" w:eastAsiaTheme="minorEastAsia" w:cstheme="minorEastAsia"/>
                <w:color w:val="000000"/>
                <w:sz w:val="24"/>
                <w:szCs w:val="24"/>
              </w:rPr>
              <w:t>人民政府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4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1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1680.5</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1680.51</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1680.5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r>
              <w:rPr>
                <w:rFonts w:hint="eastAsia" w:asciiTheme="minorEastAsia" w:hAnsiTheme="minorEastAsia" w:eastAsiaTheme="minorEastAsia" w:cstheme="minorEastAsia"/>
                <w:sz w:val="24"/>
                <w:szCs w:val="24"/>
                <w:lang w:val="en-US" w:eastAsia="zh-CN"/>
              </w:rPr>
              <w:t>1680.5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r>
              <w:rPr>
                <w:rFonts w:hint="eastAsia" w:asciiTheme="minorEastAsia" w:hAnsiTheme="minorEastAsia" w:eastAsiaTheme="minorEastAsia" w:cstheme="minorEastAsia"/>
                <w:sz w:val="24"/>
                <w:szCs w:val="24"/>
                <w:lang w:val="en-US" w:eastAsia="zh-CN"/>
              </w:rPr>
              <w:t>1680.5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sz w:val="24"/>
                <w:szCs w:val="24"/>
                <w:lang w:val="en-US" w:eastAsia="zh-CN"/>
              </w:rPr>
              <w:t>1680.5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1189.6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490.9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68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保障本年度我委各项业务工作、基本运作有序进行</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部门预算金额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案件办理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开展警示教育活动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执纪执法取得实效</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000000"/>
          <w:sz w:val="32"/>
          <w:szCs w:val="24"/>
          <w:lang w:val="en-US" w:eastAsia="zh-CN"/>
        </w:rPr>
      </w:pPr>
      <w:r>
        <w:rPr>
          <w:rFonts w:hint="eastAsia" w:eastAsia="仿宋_GB2312"/>
          <w:sz w:val="22"/>
          <w:szCs w:val="24"/>
        </w:rPr>
        <w:t>填表人：</w:t>
      </w:r>
      <w:r>
        <w:rPr>
          <w:rFonts w:hint="eastAsia" w:eastAsia="仿宋_GB2312"/>
          <w:sz w:val="22"/>
          <w:szCs w:val="24"/>
          <w:lang w:val="en-US" w:eastAsia="zh-CN"/>
        </w:rPr>
        <w:t>廖南棋</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 xml:space="preserve">填报日期：2024.4.12  </w:t>
      </w:r>
      <w:r>
        <w:rPr>
          <w:rFonts w:hint="eastAsia" w:eastAsia="仿宋_GB2312"/>
          <w:sz w:val="22"/>
          <w:szCs w:val="24"/>
          <w:lang w:val="en-US" w:eastAsia="zh-CN"/>
        </w:rPr>
        <w:t xml:space="preserve"> </w:t>
      </w:r>
      <w:r>
        <w:rPr>
          <w:rFonts w:hint="eastAsia" w:eastAsia="仿宋_GB2312"/>
          <w:sz w:val="22"/>
          <w:szCs w:val="24"/>
        </w:rPr>
        <w:t>联系电话：</w:t>
      </w:r>
      <w:r>
        <w:rPr>
          <w:rFonts w:hint="eastAsia" w:eastAsia="仿宋_GB2312"/>
          <w:sz w:val="22"/>
          <w:szCs w:val="24"/>
          <w:lang w:val="en-US" w:eastAsia="zh-CN"/>
        </w:rPr>
        <w:t>7723317</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1680.5万元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val="en-US" w:eastAsia="zh-CN"/>
              </w:rPr>
              <w:t>纪委</w:t>
            </w:r>
            <w:r>
              <w:rPr>
                <w:rFonts w:hint="eastAsia" w:asciiTheme="minorEastAsia" w:hAnsiTheme="minorEastAsia" w:eastAsiaTheme="minorEastAsia" w:cstheme="minorEastAsia"/>
                <w:sz w:val="24"/>
                <w:szCs w:val="24"/>
              </w:rPr>
              <w:t>的各项工作开展。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廖南棋</w:t>
      </w:r>
      <w:r>
        <w:rPr>
          <w:rFonts w:hint="eastAsia" w:asciiTheme="minorEastAsia" w:hAnsiTheme="minorEastAsia" w:eastAsiaTheme="minorEastAsia" w:cstheme="minorEastAsia"/>
          <w:sz w:val="24"/>
          <w:szCs w:val="24"/>
        </w:rPr>
        <w:t xml:space="preserve">  填报日期：2024.4.12  联系电话：</w:t>
      </w:r>
      <w:r>
        <w:rPr>
          <w:rFonts w:hint="eastAsia" w:asciiTheme="minorEastAsia" w:hAnsiTheme="minorEastAsia" w:eastAsiaTheme="minorEastAsia" w:cstheme="minorEastAsia"/>
          <w:sz w:val="24"/>
          <w:szCs w:val="24"/>
          <w:lang w:val="en-US" w:eastAsia="zh-CN"/>
        </w:rPr>
        <w:t>7723317</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中共双牌县纪律检查委员会</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中共双牌县纪律检查委员会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lang w:val="en-US" w:eastAsia="zh-CN"/>
              </w:rPr>
              <w:t>1680.5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1680.5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1680.5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1680.5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1680.5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lang w:val="en-US" w:eastAsia="zh-CN"/>
              </w:rPr>
              <w:t>1680.5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sz w:val="24"/>
                <w:szCs w:val="24"/>
                <w:lang w:val="en-US" w:eastAsia="zh-CN"/>
              </w:rPr>
              <w:t>纪委</w:t>
            </w:r>
            <w:r>
              <w:rPr>
                <w:rFonts w:hint="eastAsia" w:asciiTheme="minorEastAsia" w:hAnsiTheme="minorEastAsia" w:eastAsiaTheme="minorEastAsia" w:cstheme="minorEastAsia"/>
                <w:color w:val="000000"/>
                <w:sz w:val="24"/>
                <w:szCs w:val="24"/>
              </w:rPr>
              <w:t>的各项工作开展</w:t>
            </w:r>
            <w:r>
              <w:rPr>
                <w:rFonts w:hint="eastAsia" w:asciiTheme="minorEastAsia" w:hAnsiTheme="minorEastAsia" w:eastAsiaTheme="minorEastAsia" w:cstheme="minorEastAsia"/>
                <w:color w:val="000000"/>
                <w:sz w:val="24"/>
                <w:szCs w:val="24"/>
                <w:lang w:eastAsia="zh-CN"/>
              </w:rPr>
              <w:t>。</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sz w:val="24"/>
                <w:szCs w:val="24"/>
                <w:lang w:val="en-US" w:eastAsia="zh-CN"/>
              </w:rPr>
              <w:t>纪委</w:t>
            </w:r>
            <w:r>
              <w:rPr>
                <w:rFonts w:hint="eastAsia" w:asciiTheme="minorEastAsia" w:hAnsiTheme="minorEastAsia" w:eastAsiaTheme="minorEastAsia" w:cstheme="minorEastAsia"/>
                <w:color w:val="000000"/>
                <w:sz w:val="24"/>
                <w:szCs w:val="24"/>
              </w:rPr>
              <w:t>的各项工作开展</w:t>
            </w:r>
            <w:r>
              <w:rPr>
                <w:rFonts w:hint="eastAsia" w:asciiTheme="minorEastAsia" w:hAnsiTheme="minorEastAsia" w:eastAsiaTheme="minorEastAsia" w:cstheme="minorEastAsia"/>
                <w:color w:val="00000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促进社</w:t>
            </w:r>
            <w:r>
              <w:rPr>
                <w:rFonts w:hint="eastAsia" w:asciiTheme="minorEastAsia" w:hAnsiTheme="minorEastAsia" w:eastAsiaTheme="minorEastAsia" w:cstheme="minorEastAsia"/>
                <w:color w:val="000000"/>
                <w:sz w:val="24"/>
                <w:szCs w:val="24"/>
                <w:lang w:eastAsia="zh-CN"/>
              </w:rPr>
              <w:t>会发展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完成支出总额</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1680.5</w:t>
            </w:r>
            <w:r>
              <w:rPr>
                <w:rFonts w:hint="eastAsia" w:asciiTheme="minorEastAsia" w:hAnsiTheme="minorEastAsia" w:eastAsiaTheme="minorEastAsia" w:cstheme="minorEastAsia"/>
                <w:color w:val="000000"/>
                <w:kern w:val="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lang w:val="en-US" w:eastAsia="zh-CN"/>
              </w:rPr>
              <w:t>1680.5</w:t>
            </w:r>
            <w:r>
              <w:rPr>
                <w:rFonts w:hint="eastAsia" w:asciiTheme="minorEastAsia" w:hAnsiTheme="minorEastAsia" w:eastAsiaTheme="minorEastAsia" w:cstheme="minorEastAsia"/>
                <w:color w:val="000000"/>
                <w:sz w:val="24"/>
                <w:szCs w:val="24"/>
                <w:lang w:eastAsia="zh-CN"/>
              </w:rPr>
              <w:t>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资金使用</w:t>
            </w:r>
            <w:r>
              <w:rPr>
                <w:rFonts w:hint="eastAsia" w:asciiTheme="minorEastAsia" w:hAnsiTheme="minorEastAsia" w:eastAsiaTheme="minorEastAsia" w:cstheme="minorEastAsia"/>
                <w:color w:val="000000"/>
                <w:kern w:val="0"/>
                <w:sz w:val="24"/>
                <w:szCs w:val="24"/>
              </w:rPr>
              <w:t>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完成支出及时率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促进社会发展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廖南棋</w:t>
      </w:r>
      <w:r>
        <w:rPr>
          <w:rFonts w:hint="eastAsia" w:asciiTheme="minorEastAsia" w:hAnsiTheme="minorEastAsia" w:eastAsiaTheme="minorEastAsia" w:cstheme="minorEastAsia"/>
          <w:sz w:val="24"/>
          <w:szCs w:val="24"/>
        </w:rPr>
        <w:t xml:space="preserve">  填报日期：2024.4.12  联系电话：</w:t>
      </w:r>
      <w:r>
        <w:rPr>
          <w:rFonts w:hint="eastAsia" w:asciiTheme="minorEastAsia" w:hAnsiTheme="minorEastAsia" w:eastAsiaTheme="minorEastAsia" w:cstheme="minorEastAsia"/>
          <w:sz w:val="24"/>
          <w:szCs w:val="24"/>
          <w:lang w:val="en-US" w:eastAsia="zh-CN"/>
        </w:rPr>
        <w:t>7723317</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中共双牌县纪律检查委员会</w:t>
      </w:r>
      <w:r>
        <w:rPr>
          <w:rFonts w:hint="eastAsia" w:ascii="宋体" w:hAnsi="宋体" w:eastAsia="宋体" w:cs="宋体"/>
          <w:b/>
          <w:bCs/>
          <w:sz w:val="40"/>
          <w:szCs w:val="40"/>
        </w:rPr>
        <w:t>预算绩效管理工作负责人名册</w:t>
      </w:r>
    </w:p>
    <w:tbl>
      <w:tblPr>
        <w:tblStyle w:val="6"/>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4"/>
        <w:gridCol w:w="1315"/>
        <w:gridCol w:w="1335"/>
        <w:gridCol w:w="1536"/>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胡佐军</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常务副书记、监委副主任</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7723317</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13874693232</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廖南棋</w:t>
            </w: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财务室工作人员</w:t>
            </w: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7723317</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19918218763</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B19AA"/>
    <w:multiLevelType w:val="singleLevel"/>
    <w:tmpl w:val="805B19AA"/>
    <w:lvl w:ilvl="0" w:tentative="0">
      <w:start w:val="4"/>
      <w:numFmt w:val="decimal"/>
      <w:suff w:val="nothing"/>
      <w:lvlText w:val="%1、"/>
      <w:lvlJc w:val="left"/>
    </w:lvl>
  </w:abstractNum>
  <w:abstractNum w:abstractNumId="1">
    <w:nsid w:val="93496BCC"/>
    <w:multiLevelType w:val="singleLevel"/>
    <w:tmpl w:val="93496BCC"/>
    <w:lvl w:ilvl="0" w:tentative="0">
      <w:start w:val="2"/>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TZjNzg5MWUyMzE2ZDMyNGNhMzI1ZjJjOTY1NzIifQ=="/>
  </w:docVars>
  <w:rsids>
    <w:rsidRoot w:val="00172A27"/>
    <w:rsid w:val="03925EC8"/>
    <w:rsid w:val="0C7153B4"/>
    <w:rsid w:val="0CC579C8"/>
    <w:rsid w:val="0CCE5073"/>
    <w:rsid w:val="0D727964"/>
    <w:rsid w:val="101F3C57"/>
    <w:rsid w:val="105E064F"/>
    <w:rsid w:val="125F1BA5"/>
    <w:rsid w:val="154B3473"/>
    <w:rsid w:val="15B02F86"/>
    <w:rsid w:val="187575CA"/>
    <w:rsid w:val="1B196047"/>
    <w:rsid w:val="1BCE59A7"/>
    <w:rsid w:val="1D2A0C91"/>
    <w:rsid w:val="1D5E5630"/>
    <w:rsid w:val="1F9C1D8C"/>
    <w:rsid w:val="20A66CB5"/>
    <w:rsid w:val="20BA3D5C"/>
    <w:rsid w:val="20FE29CD"/>
    <w:rsid w:val="213827F6"/>
    <w:rsid w:val="24756501"/>
    <w:rsid w:val="25485291"/>
    <w:rsid w:val="29A1133C"/>
    <w:rsid w:val="2AF82401"/>
    <w:rsid w:val="2D2E128C"/>
    <w:rsid w:val="31EF3498"/>
    <w:rsid w:val="33457B5A"/>
    <w:rsid w:val="33EA0D37"/>
    <w:rsid w:val="3B433CCB"/>
    <w:rsid w:val="3DFB432B"/>
    <w:rsid w:val="41A60F90"/>
    <w:rsid w:val="437042B4"/>
    <w:rsid w:val="43BF21DD"/>
    <w:rsid w:val="43D25C86"/>
    <w:rsid w:val="4554455C"/>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9272EA9"/>
    <w:rsid w:val="5A5477B2"/>
    <w:rsid w:val="5ABA52A9"/>
    <w:rsid w:val="5C8E01AF"/>
    <w:rsid w:val="62BE6D8B"/>
    <w:rsid w:val="64E742EF"/>
    <w:rsid w:val="684B0AD7"/>
    <w:rsid w:val="6A890ABD"/>
    <w:rsid w:val="6E351362"/>
    <w:rsid w:val="71FC523D"/>
    <w:rsid w:val="75073918"/>
    <w:rsid w:val="771A18F7"/>
    <w:rsid w:val="7884438F"/>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character" w:customStyle="1" w:styleId="10">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4104</Words>
  <Characters>4600</Characters>
  <Lines>0</Lines>
  <Paragraphs>0</Paragraphs>
  <TotalTime>0</TotalTime>
  <ScaleCrop>false</ScaleCrop>
  <LinksUpToDate>false</LinksUpToDate>
  <CharactersWithSpaces>4719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2025-09-04T00:53:41Z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9EFE549198434D00A794679E8D663B8A_13</vt:lpwstr>
  </property>
</Properties>
</file>