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3</w:t>
      </w:r>
      <w:r>
        <w:rPr>
          <w:rFonts w:hint="eastAsia" w:ascii="方正小标宋简体" w:eastAsia="方正小标宋简体"/>
          <w:sz w:val="52"/>
          <w:szCs w:val="24"/>
        </w:rPr>
        <w:t>年度</w:t>
      </w:r>
      <w:r>
        <w:rPr>
          <w:rFonts w:hint="eastAsia" w:ascii="方正小标宋简体" w:eastAsia="方正小标宋简体"/>
          <w:sz w:val="52"/>
          <w:szCs w:val="24"/>
          <w:lang w:eastAsia="zh-CN"/>
        </w:rPr>
        <w:t>双牌县信访事务中心</w:t>
      </w:r>
      <w:r>
        <w:rPr>
          <w:rFonts w:hint="eastAsia" w:ascii="方正小标宋简体" w:eastAsia="方正小标宋简体"/>
          <w:sz w:val="52"/>
          <w:szCs w:val="24"/>
        </w:rPr>
        <w:t>部门</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整体支出绩效自评报告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ind w:firstLine="1920" w:firstLineChars="6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p>
    <w:p>
      <w:pPr>
        <w:spacing w:beforeLines="0" w:afterLines="0" w:line="600" w:lineRule="exact"/>
        <w:ind w:firstLine="3200" w:firstLineChars="1000"/>
        <w:rPr>
          <w:rFonts w:hint="eastAsia" w:eastAsia="楷体_GB2312"/>
          <w:sz w:val="32"/>
          <w:szCs w:val="24"/>
        </w:rPr>
      </w:pPr>
    </w:p>
    <w:p>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2024</w:t>
      </w:r>
      <w:r>
        <w:rPr>
          <w:rFonts w:hint="eastAsia" w:eastAsia="楷体_GB2312"/>
          <w:sz w:val="32"/>
          <w:szCs w:val="24"/>
        </w:rPr>
        <w:t xml:space="preserve">年 </w:t>
      </w:r>
      <w:r>
        <w:rPr>
          <w:rFonts w:hint="eastAsia" w:eastAsia="楷体_GB2312"/>
          <w:sz w:val="32"/>
          <w:szCs w:val="24"/>
          <w:lang w:val="en-US" w:eastAsia="zh-CN"/>
        </w:rPr>
        <w:t>4</w:t>
      </w:r>
      <w:r>
        <w:rPr>
          <w:rFonts w:hint="eastAsia" w:eastAsia="楷体_GB2312"/>
          <w:sz w:val="32"/>
          <w:szCs w:val="24"/>
        </w:rPr>
        <w:t xml:space="preserve"> 月 </w:t>
      </w:r>
      <w:r>
        <w:rPr>
          <w:rFonts w:hint="eastAsia" w:eastAsia="楷体_GB2312"/>
          <w:sz w:val="32"/>
          <w:szCs w:val="24"/>
          <w:lang w:val="en-US" w:eastAsia="zh-CN"/>
        </w:rPr>
        <w:t>10</w:t>
      </w:r>
      <w:r>
        <w:rPr>
          <w:rFonts w:hint="eastAsia" w:eastAsia="楷体_GB2312"/>
          <w:sz w:val="32"/>
          <w:szCs w:val="24"/>
        </w:rPr>
        <w:t xml:space="preserve"> 日</w:t>
      </w:r>
    </w:p>
    <w:p>
      <w:pPr>
        <w:spacing w:beforeLines="0" w:afterLines="0"/>
        <w:jc w:val="center"/>
        <w:rPr>
          <w:rFonts w:hint="default" w:eastAsia="黑体"/>
          <w:sz w:val="32"/>
          <w:szCs w:val="24"/>
        </w:rPr>
      </w:pPr>
    </w:p>
    <w:p>
      <w:pPr>
        <w:spacing w:beforeLines="0" w:afterLines="0"/>
        <w:jc w:val="center"/>
        <w:outlineLvl w:val="0"/>
        <w:rPr>
          <w:rFonts w:hint="default" w:eastAsia="仿宋_GB2312"/>
          <w:sz w:val="32"/>
          <w:szCs w:val="24"/>
        </w:rPr>
      </w:pPr>
      <w:r>
        <w:rPr>
          <w:rFonts w:hint="eastAsia" w:eastAsia="仿宋_GB2312"/>
          <w:sz w:val="32"/>
          <w:szCs w:val="24"/>
        </w:rPr>
        <w:t>（此页为封面）</w:t>
      </w:r>
    </w:p>
    <w:p>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pPr>
        <w:numPr>
          <w:ilvl w:val="0"/>
          <w:numId w:val="2"/>
        </w:numPr>
        <w:shd w:val="clear" w:color="auto" w:fill="FFFFFF"/>
        <w:spacing w:beforeLines="0" w:afterLines="0" w:line="570" w:lineRule="exact"/>
        <w:ind w:left="-220" w:leftChars="0" w:firstLine="640" w:firstLineChars="0"/>
        <w:outlineLvl w:val="1"/>
        <w:rPr>
          <w:rFonts w:hint="eastAsia" w:ascii="仿宋" w:hAnsi="仿宋" w:eastAsia="仿宋"/>
          <w:sz w:val="32"/>
          <w:lang w:eastAsia="zh-CN"/>
        </w:rPr>
      </w:pPr>
      <w:r>
        <w:rPr>
          <w:rFonts w:hint="eastAsia" w:ascii="仿宋_GB2312" w:eastAsia="仿宋_GB2312"/>
          <w:b/>
          <w:bCs/>
          <w:sz w:val="32"/>
          <w:szCs w:val="24"/>
        </w:rPr>
        <w:t>部门</w:t>
      </w:r>
      <w:r>
        <w:rPr>
          <w:rFonts w:hint="eastAsia" w:ascii="仿宋" w:hAnsi="仿宋" w:eastAsia="仿宋"/>
          <w:b/>
          <w:bCs/>
          <w:sz w:val="32"/>
        </w:rPr>
        <w:t>主要职能</w:t>
      </w:r>
      <w:r>
        <w:rPr>
          <w:rFonts w:hint="eastAsia" w:ascii="仿宋_GB2312" w:eastAsia="仿宋_GB2312"/>
          <w:b/>
          <w:bCs/>
          <w:sz w:val="32"/>
          <w:szCs w:val="24"/>
        </w:rPr>
        <w:t>职责</w:t>
      </w:r>
      <w:r>
        <w:rPr>
          <w:rFonts w:hint="eastAsia" w:ascii="仿宋" w:hAnsi="仿宋" w:eastAsia="仿宋"/>
          <w:b/>
          <w:bCs/>
          <w:sz w:val="32"/>
          <w:lang w:eastAsia="zh-CN"/>
        </w:rPr>
        <w:t>：</w:t>
      </w:r>
      <w:r>
        <w:rPr>
          <w:rFonts w:hint="eastAsia" w:ascii="仿宋" w:hAnsi="仿宋" w:eastAsia="仿宋"/>
          <w:sz w:val="32"/>
          <w:lang w:eastAsia="zh-CN"/>
        </w:rPr>
        <w:t>（</w:t>
      </w:r>
      <w:r>
        <w:rPr>
          <w:rFonts w:hint="eastAsia" w:ascii="仿宋" w:hAnsi="仿宋" w:eastAsia="仿宋"/>
          <w:sz w:val="32"/>
          <w:lang w:val="en-US" w:eastAsia="zh-CN"/>
        </w:rPr>
        <w:t>1</w:t>
      </w:r>
      <w:r>
        <w:rPr>
          <w:rFonts w:hint="eastAsia" w:ascii="仿宋" w:hAnsi="仿宋" w:eastAsia="仿宋"/>
          <w:sz w:val="32"/>
          <w:lang w:eastAsia="zh-CN"/>
        </w:rPr>
        <w:t>）</w:t>
      </w:r>
      <w:r>
        <w:rPr>
          <w:rFonts w:hint="eastAsia" w:ascii="仿宋" w:hAnsi="仿宋" w:eastAsia="仿宋"/>
          <w:sz w:val="32"/>
        </w:rPr>
        <w:t>调处全县各类矛盾纠纷，维护社会稳定</w:t>
      </w:r>
      <w:r>
        <w:rPr>
          <w:rFonts w:hint="eastAsia" w:ascii="仿宋" w:hAnsi="仿宋" w:eastAsia="仿宋"/>
          <w:sz w:val="32"/>
          <w:lang w:eastAsia="zh-CN"/>
        </w:rPr>
        <w:t>。</w:t>
      </w:r>
      <w:r>
        <w:rPr>
          <w:rFonts w:hint="eastAsia" w:ascii="仿宋" w:hAnsi="仿宋" w:eastAsia="仿宋"/>
          <w:sz w:val="32"/>
        </w:rPr>
        <w:t>（2）全力做好信访、维稳、联席、调纠各项工作，及时化解和调处全县各类矛盾纠纷</w:t>
      </w:r>
      <w:r>
        <w:rPr>
          <w:rFonts w:hint="eastAsia" w:ascii="仿宋" w:hAnsi="仿宋" w:eastAsia="仿宋"/>
          <w:sz w:val="32"/>
          <w:lang w:eastAsia="zh-CN"/>
        </w:rPr>
        <w:t>。</w:t>
      </w:r>
      <w:r>
        <w:rPr>
          <w:rFonts w:hint="eastAsia" w:ascii="仿宋" w:hAnsi="仿宋" w:eastAsia="仿宋"/>
          <w:sz w:val="32"/>
        </w:rPr>
        <w:t>（3）承办县委、县人民政府交办的其它事宜</w:t>
      </w:r>
      <w:r>
        <w:rPr>
          <w:rFonts w:hint="eastAsia" w:ascii="仿宋" w:hAnsi="仿宋" w:eastAsia="仿宋"/>
          <w:sz w:val="32"/>
          <w:lang w:eastAsia="zh-CN"/>
        </w:rPr>
        <w:t>。</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outlineLvl w:val="9"/>
        <w:rPr>
          <w:rFonts w:hint="default" w:ascii="仿宋" w:hAnsi="仿宋" w:eastAsia="仿宋"/>
          <w:sz w:val="32"/>
          <w:lang w:eastAsia="zh-CN"/>
        </w:rPr>
      </w:pPr>
      <w:r>
        <w:rPr>
          <w:rFonts w:hint="eastAsia" w:ascii="仿宋_GB2312" w:eastAsia="仿宋_GB2312"/>
          <w:b/>
          <w:bCs/>
          <w:sz w:val="32"/>
          <w:szCs w:val="24"/>
        </w:rPr>
        <w:t>部门</w:t>
      </w:r>
      <w:r>
        <w:rPr>
          <w:rFonts w:hint="eastAsia" w:ascii="仿宋" w:hAnsi="仿宋" w:eastAsia="仿宋"/>
          <w:b/>
          <w:bCs/>
          <w:sz w:val="32"/>
        </w:rPr>
        <w:t>机构</w:t>
      </w:r>
      <w:r>
        <w:rPr>
          <w:rFonts w:hint="eastAsia" w:ascii="仿宋" w:hAnsi="仿宋" w:eastAsia="仿宋"/>
          <w:b/>
          <w:bCs/>
          <w:sz w:val="32"/>
          <w:lang w:eastAsia="zh-CN"/>
        </w:rPr>
        <w:t>编制</w:t>
      </w:r>
      <w:r>
        <w:rPr>
          <w:rFonts w:hint="eastAsia" w:ascii="仿宋" w:hAnsi="仿宋" w:eastAsia="仿宋"/>
          <w:b/>
          <w:bCs/>
          <w:sz w:val="32"/>
        </w:rPr>
        <w:t>情况</w:t>
      </w:r>
      <w:r>
        <w:rPr>
          <w:rFonts w:hint="eastAsia" w:ascii="仿宋" w:hAnsi="仿宋" w:eastAsia="仿宋"/>
          <w:b/>
          <w:bCs/>
          <w:sz w:val="32"/>
          <w:lang w:eastAsia="zh-CN"/>
        </w:rPr>
        <w:t>：</w:t>
      </w:r>
      <w:r>
        <w:rPr>
          <w:rFonts w:hint="eastAsia" w:ascii="仿宋" w:hAnsi="仿宋" w:eastAsia="仿宋"/>
          <w:sz w:val="32"/>
          <w:lang w:eastAsia="zh-CN"/>
        </w:rPr>
        <w:t>双牌县信访事务中心</w:t>
      </w:r>
      <w:r>
        <w:rPr>
          <w:rFonts w:hint="eastAsia" w:ascii="仿宋" w:hAnsi="仿宋" w:eastAsia="仿宋"/>
          <w:sz w:val="32"/>
        </w:rPr>
        <w:t>只有本级，没有其他二级预算单位，因此，纳入</w:t>
      </w:r>
      <w:r>
        <w:rPr>
          <w:rFonts w:hint="eastAsia" w:ascii="仿宋" w:hAnsi="仿宋" w:eastAsia="仿宋"/>
          <w:sz w:val="32"/>
          <w:lang w:val="en-US" w:eastAsia="zh-CN"/>
        </w:rPr>
        <w:t>2023</w:t>
      </w:r>
      <w:r>
        <w:rPr>
          <w:rFonts w:hint="eastAsia" w:ascii="仿宋" w:hAnsi="仿宋" w:eastAsia="仿宋"/>
          <w:sz w:val="32"/>
        </w:rPr>
        <w:t>年部门预算编制范围的只有</w:t>
      </w:r>
      <w:r>
        <w:rPr>
          <w:rFonts w:hint="eastAsia" w:ascii="仿宋" w:hAnsi="仿宋" w:eastAsia="仿宋"/>
          <w:sz w:val="32"/>
          <w:lang w:eastAsia="zh-CN"/>
        </w:rPr>
        <w:t>双牌县信访事务中心本级。 202</w:t>
      </w:r>
      <w:r>
        <w:rPr>
          <w:rFonts w:hint="eastAsia" w:ascii="仿宋" w:hAnsi="仿宋" w:eastAsia="仿宋"/>
          <w:sz w:val="32"/>
          <w:lang w:val="en-US" w:eastAsia="zh-CN"/>
        </w:rPr>
        <w:t>3</w:t>
      </w:r>
      <w:r>
        <w:rPr>
          <w:rFonts w:hint="eastAsia" w:ascii="仿宋" w:hAnsi="仿宋" w:eastAsia="仿宋"/>
          <w:sz w:val="32"/>
          <w:lang w:eastAsia="zh-CN"/>
        </w:rPr>
        <w:t>年本单位设股室</w:t>
      </w:r>
      <w:r>
        <w:rPr>
          <w:rFonts w:hint="eastAsia" w:ascii="仿宋" w:hAnsi="仿宋" w:eastAsia="仿宋"/>
          <w:sz w:val="32"/>
          <w:lang w:val="en-US" w:eastAsia="zh-CN"/>
        </w:rPr>
        <w:t>4</w:t>
      </w:r>
      <w:r>
        <w:rPr>
          <w:rFonts w:hint="eastAsia" w:ascii="仿宋" w:hAnsi="仿宋" w:eastAsia="仿宋"/>
          <w:sz w:val="32"/>
          <w:lang w:eastAsia="zh-CN"/>
        </w:rPr>
        <w:t>个，分别是办公室、导访接访室、网信室、办信室。</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outlineLvl w:val="9"/>
        <w:rPr>
          <w:rFonts w:hint="eastAsia" w:ascii="仿宋" w:hAnsi="仿宋" w:eastAsia="仿宋"/>
          <w:sz w:val="32"/>
          <w:lang w:eastAsia="zh-CN"/>
        </w:rPr>
      </w:pPr>
      <w:r>
        <w:rPr>
          <w:rFonts w:hint="eastAsia" w:ascii="仿宋" w:hAnsi="仿宋" w:eastAsia="仿宋"/>
          <w:b/>
          <w:bCs/>
          <w:sz w:val="32"/>
          <w:lang w:eastAsia="zh-CN"/>
        </w:rPr>
        <w:t>部门人员构成情况：</w:t>
      </w:r>
      <w:r>
        <w:rPr>
          <w:rFonts w:hint="eastAsia" w:ascii="仿宋" w:hAnsi="仿宋" w:eastAsia="仿宋"/>
          <w:sz w:val="32"/>
          <w:lang w:eastAsia="zh-CN"/>
        </w:rPr>
        <w:t>202</w:t>
      </w:r>
      <w:r>
        <w:rPr>
          <w:rFonts w:hint="eastAsia" w:ascii="仿宋" w:hAnsi="仿宋" w:eastAsia="仿宋"/>
          <w:sz w:val="32"/>
          <w:lang w:val="en-US" w:eastAsia="zh-CN"/>
        </w:rPr>
        <w:t>3</w:t>
      </w:r>
      <w:r>
        <w:rPr>
          <w:rFonts w:hint="eastAsia" w:ascii="仿宋" w:hAnsi="仿宋" w:eastAsia="仿宋"/>
          <w:sz w:val="32"/>
          <w:lang w:eastAsia="zh-CN"/>
        </w:rPr>
        <w:t>年本单位年末实有人数1</w:t>
      </w:r>
      <w:r>
        <w:rPr>
          <w:rFonts w:hint="eastAsia" w:ascii="仿宋" w:hAnsi="仿宋" w:eastAsia="仿宋"/>
          <w:sz w:val="32"/>
          <w:lang w:val="en-US" w:eastAsia="zh-CN"/>
        </w:rPr>
        <w:t>1</w:t>
      </w:r>
      <w:r>
        <w:rPr>
          <w:rFonts w:hint="eastAsia" w:ascii="仿宋" w:hAnsi="仿宋" w:eastAsia="仿宋"/>
          <w:sz w:val="32"/>
          <w:lang w:eastAsia="zh-CN"/>
        </w:rPr>
        <w:t>人（在编在岗</w:t>
      </w:r>
      <w:r>
        <w:rPr>
          <w:rFonts w:hint="eastAsia" w:ascii="仿宋" w:hAnsi="仿宋" w:eastAsia="仿宋"/>
          <w:sz w:val="32"/>
          <w:lang w:val="en-US" w:eastAsia="zh-CN"/>
        </w:rPr>
        <w:t>10</w:t>
      </w:r>
      <w:r>
        <w:rPr>
          <w:rFonts w:hint="eastAsia" w:ascii="仿宋" w:hAnsi="仿宋" w:eastAsia="仿宋"/>
          <w:sz w:val="32"/>
          <w:lang w:eastAsia="zh-CN"/>
        </w:rPr>
        <w:t>人，抽调1人）。</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outlineLvl w:val="9"/>
        <w:rPr>
          <w:rFonts w:hint="eastAsia" w:ascii="仿宋" w:hAnsi="仿宋" w:eastAsia="仿宋"/>
          <w:b/>
          <w:bCs/>
          <w:sz w:val="32"/>
          <w:lang w:eastAsia="zh-CN"/>
        </w:rPr>
      </w:pPr>
      <w:r>
        <w:rPr>
          <w:rFonts w:hint="eastAsia" w:ascii="仿宋" w:hAnsi="仿宋" w:eastAsia="仿宋"/>
          <w:b/>
          <w:bCs/>
          <w:sz w:val="32"/>
          <w:lang w:eastAsia="zh-CN"/>
        </w:rPr>
        <w:t>（二）部门整体支出经费预决算概况</w:t>
      </w:r>
    </w:p>
    <w:p>
      <w:pPr>
        <w:numPr>
          <w:ilvl w:val="0"/>
          <w:numId w:val="0"/>
        </w:numPr>
        <w:shd w:val="clear" w:color="auto" w:fill="FFFFFF"/>
        <w:spacing w:beforeLines="0" w:afterLines="0" w:line="570" w:lineRule="exact"/>
        <w:ind w:firstLine="640" w:firstLineChars="200"/>
        <w:outlineLvl w:val="1"/>
        <w:rPr>
          <w:rFonts w:hint="eastAsia" w:ascii="仿宋" w:hAnsi="仿宋" w:eastAsia="仿宋"/>
          <w:sz w:val="32"/>
        </w:rPr>
      </w:pPr>
      <w:r>
        <w:rPr>
          <w:rFonts w:hint="eastAsia" w:ascii="仿宋" w:hAnsi="仿宋" w:eastAsia="仿宋"/>
          <w:sz w:val="32"/>
        </w:rPr>
        <w:t>我</w:t>
      </w:r>
      <w:r>
        <w:rPr>
          <w:rFonts w:hint="eastAsia" w:ascii="仿宋" w:hAnsi="仿宋" w:eastAsia="仿宋"/>
          <w:sz w:val="32"/>
          <w:lang w:eastAsia="zh-CN"/>
        </w:rPr>
        <w:t>中心</w:t>
      </w:r>
      <w:r>
        <w:rPr>
          <w:rFonts w:hint="eastAsia" w:ascii="仿宋" w:hAnsi="仿宋" w:eastAsia="仿宋"/>
          <w:sz w:val="32"/>
        </w:rPr>
        <w:t>整体支出预算资金均为一般公共预算资金，无政府性基金预算资金、国有资本经营预算资金、社会保险基金预算资金。</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ightChars="0" w:firstLine="643" w:firstLineChars="200"/>
        <w:jc w:val="both"/>
        <w:outlineLvl w:val="1"/>
        <w:rPr>
          <w:rFonts w:hint="eastAsia" w:ascii="仿宋" w:hAnsi="仿宋" w:eastAsia="仿宋" w:cstheme="minorBidi"/>
          <w:b/>
          <w:bCs/>
          <w:kern w:val="2"/>
          <w:sz w:val="32"/>
          <w:szCs w:val="24"/>
          <w:lang w:val="en-US" w:eastAsia="zh-CN" w:bidi="ar-SA"/>
        </w:rPr>
      </w:pPr>
      <w:r>
        <w:rPr>
          <w:rFonts w:hint="eastAsia" w:ascii="仿宋" w:hAnsi="仿宋" w:eastAsia="仿宋" w:cstheme="minorBidi"/>
          <w:b/>
          <w:bCs/>
          <w:kern w:val="2"/>
          <w:sz w:val="32"/>
          <w:szCs w:val="24"/>
          <w:lang w:val="en-US" w:eastAsia="zh-CN" w:bidi="ar-SA"/>
        </w:rPr>
        <w:t>部门整体经费收入预决算执行情况</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ightChars="0" w:firstLine="640" w:firstLineChars="200"/>
        <w:jc w:val="both"/>
        <w:outlineLvl w:val="1"/>
        <w:rPr>
          <w:rFonts w:hint="eastAsia" w:ascii="仿宋" w:hAnsi="仿宋" w:eastAsia="仿宋" w:cstheme="minorBidi"/>
          <w:b w:val="0"/>
          <w:bCs w:val="0"/>
          <w:color w:val="C00000"/>
          <w:kern w:val="2"/>
          <w:sz w:val="32"/>
          <w:szCs w:val="24"/>
          <w:lang w:val="en-US" w:eastAsia="zh-CN" w:bidi="ar-SA"/>
        </w:rPr>
      </w:pPr>
      <w:r>
        <w:rPr>
          <w:rFonts w:hint="eastAsia" w:ascii="仿宋" w:hAnsi="仿宋" w:eastAsia="仿宋" w:cstheme="minorBidi"/>
          <w:b w:val="0"/>
          <w:bCs w:val="0"/>
          <w:color w:val="C00000"/>
          <w:kern w:val="2"/>
          <w:sz w:val="32"/>
          <w:szCs w:val="24"/>
          <w:lang w:val="en-US" w:eastAsia="zh-CN" w:bidi="ar-SA"/>
        </w:rPr>
        <w:t>经批复，我中心2023年度整体支出年初预算381.32万元，收入来源为经费拨款，其中基本支出116.92 万元，项目支出   264.40万元。</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ascii="楷体_GB2312" w:hAnsi="楷体_GB2312" w:eastAsia="楷体_GB2312"/>
          <w:color w:val="C00000"/>
          <w:sz w:val="32"/>
          <w:szCs w:val="32"/>
        </w:rPr>
      </w:pPr>
      <w:r>
        <w:rPr>
          <w:rFonts w:hint="eastAsia" w:ascii="仿宋" w:hAnsi="仿宋" w:eastAsia="仿宋" w:cstheme="minorBidi"/>
          <w:b w:val="0"/>
          <w:bCs w:val="0"/>
          <w:color w:val="C00000"/>
          <w:kern w:val="2"/>
          <w:sz w:val="32"/>
          <w:szCs w:val="24"/>
          <w:lang w:val="en-US" w:eastAsia="zh-CN" w:bidi="ar-SA"/>
        </w:rPr>
        <w:t>本年决算收入342.29万元，其中基本支出118.87万元，项目支出223.42万元。本年决算收入</w:t>
      </w:r>
      <w:r>
        <w:rPr>
          <w:rFonts w:hint="eastAsia" w:ascii="仿宋_GB2312" w:hAnsi="仿宋" w:eastAsia="仿宋_GB2312" w:cs="仿宋_GB2312"/>
          <w:color w:val="C00000"/>
          <w:sz w:val="32"/>
          <w:szCs w:val="32"/>
        </w:rPr>
        <w:t>比年初预算数</w:t>
      </w:r>
      <w:r>
        <w:rPr>
          <w:rFonts w:hint="eastAsia" w:ascii="仿宋_GB2312" w:hAnsi="仿宋" w:eastAsia="仿宋_GB2312" w:cs="仿宋_GB2312"/>
          <w:color w:val="C00000"/>
          <w:sz w:val="32"/>
          <w:szCs w:val="32"/>
          <w:lang w:eastAsia="zh-CN"/>
        </w:rPr>
        <w:t>减少</w:t>
      </w:r>
      <w:r>
        <w:rPr>
          <w:rFonts w:hint="eastAsia" w:ascii="仿宋_GB2312" w:hAnsi="仿宋" w:eastAsia="仿宋_GB2312" w:cs="仿宋_GB2312"/>
          <w:color w:val="C00000"/>
          <w:sz w:val="32"/>
          <w:szCs w:val="32"/>
          <w:lang w:val="en-US" w:eastAsia="zh-CN"/>
        </w:rPr>
        <w:t>39.03</w:t>
      </w:r>
      <w:r>
        <w:rPr>
          <w:rFonts w:hint="eastAsia" w:ascii="仿宋_GB2312" w:hAnsi="仿宋" w:eastAsia="仿宋_GB2312" w:cs="仿宋_GB2312"/>
          <w:color w:val="C00000"/>
          <w:sz w:val="32"/>
          <w:szCs w:val="32"/>
        </w:rPr>
        <w:t>万元，增减变动主要原因是</w:t>
      </w:r>
      <w:r>
        <w:rPr>
          <w:rFonts w:hint="eastAsia" w:ascii="仿宋_GB2312" w:hAnsi="仿宋" w:eastAsia="仿宋_GB2312" w:cs="仿宋_GB2312"/>
          <w:color w:val="C00000"/>
          <w:sz w:val="32"/>
          <w:szCs w:val="32"/>
          <w:lang w:eastAsia="zh-CN"/>
        </w:rPr>
        <w:t>减少重要会议特防期信访维稳经费</w:t>
      </w:r>
      <w:r>
        <w:rPr>
          <w:rFonts w:hint="eastAsia" w:ascii="仿宋" w:hAnsi="仿宋" w:eastAsia="仿宋" w:cs="仿宋"/>
          <w:color w:val="C00000"/>
          <w:sz w:val="32"/>
          <w:szCs w:val="32"/>
          <w:lang w:eastAsia="zh-CN"/>
        </w:rPr>
        <w:t>。</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ightChars="0" w:firstLine="640" w:firstLineChars="200"/>
        <w:jc w:val="both"/>
        <w:outlineLvl w:val="1"/>
        <w:rPr>
          <w:rFonts w:hint="eastAsia" w:ascii="仿宋" w:hAnsi="仿宋" w:eastAsia="仿宋" w:cstheme="minorBidi"/>
          <w:b w:val="0"/>
          <w:bCs w:val="0"/>
          <w:color w:val="C00000"/>
          <w:kern w:val="2"/>
          <w:sz w:val="32"/>
          <w:szCs w:val="24"/>
          <w:lang w:val="en-US" w:eastAsia="zh-CN" w:bidi="ar-SA"/>
        </w:rPr>
      </w:pPr>
      <w:r>
        <w:rPr>
          <w:rFonts w:hint="eastAsia" w:ascii="仿宋" w:hAnsi="仿宋" w:eastAsia="仿宋" w:cstheme="minorBidi"/>
          <w:b w:val="0"/>
          <w:bCs w:val="0"/>
          <w:color w:val="C00000"/>
          <w:kern w:val="2"/>
          <w:sz w:val="32"/>
          <w:szCs w:val="24"/>
          <w:lang w:val="en-US" w:eastAsia="zh-CN" w:bidi="ar-SA"/>
        </w:rPr>
        <w:t>本年支出决算金额342.29万元，预算执行率89.76％。其中：基本支出决算总额118.87万元，基本支出预算执行率101.66％；项目支出决算总额223.42万元，项目支出预算执行率84.50％。</w:t>
      </w:r>
    </w:p>
    <w:p>
      <w:pPr>
        <w:pStyle w:val="10"/>
        <w:spacing w:beforeLines="0" w:afterLines="0" w:line="570" w:lineRule="exact"/>
        <w:ind w:firstLine="640"/>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pPr>
        <w:pStyle w:val="10"/>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（一）基本支出情况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1．基本支出收入总额预决算情况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jc w:val="both"/>
        <w:rPr>
          <w:rFonts w:hint="eastAsia" w:ascii="仿宋" w:hAnsi="仿宋" w:eastAsia="仿宋" w:cs="仿宋"/>
          <w:color w:val="C00000"/>
          <w:kern w:val="2"/>
          <w:sz w:val="32"/>
          <w:szCs w:val="32"/>
          <w:lang w:val="en-US" w:eastAsia="zh-CN" w:bidi="ar-SA"/>
        </w:rPr>
      </w:pPr>
      <w:r>
        <w:rPr>
          <w:rFonts w:hint="eastAsia" w:ascii="仿宋" w:hAnsi="仿宋" w:eastAsia="仿宋" w:cs="仿宋"/>
          <w:color w:val="C00000"/>
          <w:kern w:val="2"/>
          <w:sz w:val="32"/>
          <w:szCs w:val="32"/>
          <w:lang w:val="en-US" w:eastAsia="zh-CN" w:bidi="ar-SA"/>
        </w:rPr>
        <w:t>2023年基本支出上年结余结转0万元，年初预算收入</w:t>
      </w:r>
      <w:r>
        <w:rPr>
          <w:rFonts w:hint="eastAsia" w:ascii="仿宋" w:hAnsi="仿宋" w:eastAsia="仿宋" w:cstheme="minorBidi"/>
          <w:b w:val="0"/>
          <w:bCs w:val="0"/>
          <w:color w:val="C00000"/>
          <w:kern w:val="2"/>
          <w:sz w:val="32"/>
          <w:szCs w:val="24"/>
          <w:lang w:val="en-US" w:eastAsia="zh-CN" w:bidi="ar-SA"/>
        </w:rPr>
        <w:t>381.32</w:t>
      </w:r>
      <w:r>
        <w:rPr>
          <w:rFonts w:hint="eastAsia" w:ascii="仿宋" w:hAnsi="仿宋" w:eastAsia="仿宋" w:cs="仿宋"/>
          <w:color w:val="C00000"/>
          <w:kern w:val="2"/>
          <w:sz w:val="32"/>
          <w:szCs w:val="32"/>
          <w:lang w:val="en-US" w:eastAsia="zh-CN" w:bidi="ar-SA"/>
        </w:rPr>
        <w:t>万元，全年预算资金</w:t>
      </w:r>
      <w:r>
        <w:rPr>
          <w:rFonts w:hint="eastAsia" w:ascii="仿宋" w:hAnsi="仿宋" w:eastAsia="仿宋" w:cstheme="minorBidi"/>
          <w:b w:val="0"/>
          <w:bCs w:val="0"/>
          <w:color w:val="C00000"/>
          <w:kern w:val="2"/>
          <w:sz w:val="32"/>
          <w:szCs w:val="24"/>
          <w:lang w:val="en-US" w:eastAsia="zh-CN" w:bidi="ar-SA"/>
        </w:rPr>
        <w:t>342.29</w:t>
      </w:r>
      <w:r>
        <w:rPr>
          <w:rFonts w:hint="eastAsia" w:ascii="仿宋" w:hAnsi="仿宋" w:eastAsia="仿宋" w:cs="仿宋"/>
          <w:color w:val="C00000"/>
          <w:kern w:val="2"/>
          <w:sz w:val="32"/>
          <w:szCs w:val="32"/>
          <w:lang w:val="en-US" w:eastAsia="zh-CN" w:bidi="ar-SA"/>
        </w:rPr>
        <w:t>万元。基本支出本年决算收入</w:t>
      </w:r>
      <w:r>
        <w:rPr>
          <w:rFonts w:hint="eastAsia" w:ascii="仿宋" w:hAnsi="仿宋" w:eastAsia="仿宋" w:cstheme="minorBidi"/>
          <w:b w:val="0"/>
          <w:bCs w:val="0"/>
          <w:color w:val="C00000"/>
          <w:kern w:val="2"/>
          <w:sz w:val="32"/>
          <w:szCs w:val="24"/>
          <w:lang w:val="en-US" w:eastAsia="zh-CN" w:bidi="ar-SA"/>
        </w:rPr>
        <w:t>342.29</w:t>
      </w:r>
      <w:r>
        <w:rPr>
          <w:rFonts w:hint="eastAsia" w:ascii="仿宋" w:hAnsi="仿宋" w:eastAsia="仿宋" w:cs="仿宋"/>
          <w:color w:val="C00000"/>
          <w:kern w:val="2"/>
          <w:sz w:val="32"/>
          <w:szCs w:val="32"/>
          <w:lang w:val="en-US" w:eastAsia="zh-CN" w:bidi="ar-SA"/>
        </w:rPr>
        <w:t>万元，与全年预算收入一致。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3" w:firstLineChars="200"/>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2．基本支出经费及预算执行情况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Times New Roman" w:hAnsi="Times New Roman" w:eastAsia="仿宋_GB2312"/>
          <w:sz w:val="32"/>
          <w:szCs w:val="24"/>
          <w:lang w:eastAsia="zh-CN"/>
        </w:rPr>
        <w:drawing>
          <wp:anchor distT="0" distB="0" distL="114300" distR="114300" simplePos="0" relativeHeight="251659264" behindDoc="0" locked="0" layoutInCell="1" allowOverlap="1">
            <wp:simplePos x="0" y="0"/>
            <wp:positionH relativeFrom="column">
              <wp:posOffset>240030</wp:posOffset>
            </wp:positionH>
            <wp:positionV relativeFrom="paragraph">
              <wp:posOffset>51435</wp:posOffset>
            </wp:positionV>
            <wp:extent cx="5394960" cy="1360805"/>
            <wp:effectExtent l="0" t="0" r="15240" b="10795"/>
            <wp:wrapSquare wrapText="bothSides"/>
            <wp:docPr id="1" name="图片 1" descr="微信图片_2024050915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509152732"/>
                    <pic:cNvPicPr>
                      <a:picLocks noChangeAspect="1"/>
                    </pic:cNvPicPr>
                  </pic:nvPicPr>
                  <pic:blipFill>
                    <a:blip r:embed="rId6"/>
                    <a:stretch>
                      <a:fillRect/>
                    </a:stretch>
                  </pic:blipFill>
                  <pic:spPr>
                    <a:xfrm>
                      <a:off x="0" y="0"/>
                      <a:ext cx="5394960" cy="1360805"/>
                    </a:xfrm>
                    <a:prstGeom prst="rect">
                      <a:avLst/>
                    </a:prstGeom>
                  </pic:spPr>
                </pic:pic>
              </a:graphicData>
            </a:graphic>
          </wp:anchor>
        </w:drawing>
      </w:r>
      <w:r>
        <w:rPr>
          <w:rFonts w:hint="eastAsia" w:ascii="仿宋" w:hAnsi="仿宋" w:eastAsia="仿宋" w:cs="仿宋"/>
          <w:b w:val="0"/>
          <w:bCs w:val="0"/>
          <w:kern w:val="2"/>
          <w:sz w:val="32"/>
          <w:szCs w:val="32"/>
          <w:lang w:val="en-US" w:eastAsia="zh-CN" w:bidi="ar-SA"/>
        </w:rPr>
        <w:t>基本支出本年支出决算106.97万元，预算指标执行率102.58%。其中人员经费预算执行率101.95％，公用经费预算执行率99.16％。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（1）工资福利支出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320" w:firstLineChars="1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本年可用预算103.98万元，决算支出106.97万元，预算执行率102.58％。决算支出超出预算指标支付总金额2.99万元。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（2）商品和服务支出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本年可用预算12万元，决算支出11.9万元，预算执行率99.16％。经自查，决算支出均控制在预算指标之内，指标结转结余0.1万元。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（3）对个人和家庭的补助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Times New Roman" w:hAnsi="Times New Roman" w:eastAsia="仿宋_GB2312"/>
          <w:sz w:val="32"/>
          <w:szCs w:val="24"/>
          <w:lang w:eastAsia="zh-CN"/>
        </w:rPr>
      </w:pPr>
      <w:r>
        <w:rPr>
          <w:rFonts w:hint="eastAsia" w:ascii="仿宋" w:hAnsi="仿宋" w:eastAsia="仿宋" w:cs="仿宋"/>
          <w:b w:val="0"/>
          <w:bCs w:val="0"/>
          <w:kern w:val="2"/>
          <w:sz w:val="32"/>
          <w:szCs w:val="32"/>
          <w:lang w:val="en-US" w:eastAsia="zh-CN" w:bidi="ar-SA"/>
        </w:rPr>
        <w:t>对个人和家庭的补助本年可用预算0.95万元，决算支出0万元，预算执行率0％。经自查，此项为遗补资金，由县财政每月统一直接支付给遗补对象。</w:t>
      </w:r>
    </w:p>
    <w:p>
      <w:pPr>
        <w:pStyle w:val="10"/>
        <w:numPr>
          <w:ilvl w:val="0"/>
          <w:numId w:val="2"/>
        </w:numPr>
        <w:spacing w:beforeLines="0" w:afterLines="0" w:line="570" w:lineRule="exact"/>
        <w:ind w:left="-220" w:leftChars="0" w:firstLine="640" w:firstLineChars="0"/>
        <w:outlineLvl w:val="1"/>
        <w:rPr>
          <w:rFonts w:hint="eastAsia" w:ascii="Times New Roman" w:hAnsi="Times New Roman" w:eastAsia="仿宋_GB2312"/>
          <w:sz w:val="32"/>
          <w:szCs w:val="24"/>
        </w:rPr>
      </w:pPr>
      <w:r>
        <w:rPr>
          <w:rFonts w:hint="eastAsia" w:ascii="Times New Roman" w:hAnsi="Times New Roman" w:eastAsia="仿宋_GB2312"/>
          <w:sz w:val="32"/>
          <w:szCs w:val="24"/>
        </w:rPr>
        <w:t>项目支出情况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43" w:firstLineChars="200"/>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（1）项目资金预算安排情况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2023年度我中心项目支出中业务工作经费118.87万元，信访维稳应急处置经费223.42万元。经统计，我中心本年预算安排专项1个，年初预算264.4万元。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43" w:firstLineChars="200"/>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（2）本年预算执行及结转结余情况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43" w:firstLineChars="200"/>
        <w:jc w:val="both"/>
        <w:rPr>
          <w:rFonts w:hint="eastAsia" w:ascii="仿宋" w:hAnsi="仿宋" w:eastAsia="仿宋" w:cs="仿宋"/>
          <w:b w:val="0"/>
          <w:bCs w:val="0"/>
          <w:kern w:val="2"/>
          <w:sz w:val="32"/>
          <w:szCs w:val="32"/>
          <w:lang w:val="en-US" w:eastAsia="zh-CN" w:bidi="ar-SA"/>
        </w:rPr>
      </w:pPr>
      <w:r>
        <w:rPr>
          <w:rFonts w:hint="eastAsia" w:ascii="Times New Roman" w:hAnsi="Times New Roman" w:eastAsia="仿宋_GB2312"/>
          <w:sz w:val="32"/>
          <w:szCs w:val="24"/>
          <w:lang w:eastAsia="zh-CN"/>
        </w:rPr>
        <w:drawing>
          <wp:anchor distT="0" distB="0" distL="114300" distR="114300" simplePos="0" relativeHeight="251660288" behindDoc="0" locked="0" layoutInCell="1" allowOverlap="1">
            <wp:simplePos x="0" y="0"/>
            <wp:positionH relativeFrom="column">
              <wp:posOffset>-172085</wp:posOffset>
            </wp:positionH>
            <wp:positionV relativeFrom="paragraph">
              <wp:posOffset>528320</wp:posOffset>
            </wp:positionV>
            <wp:extent cx="5398135" cy="1402080"/>
            <wp:effectExtent l="0" t="0" r="12065" b="7620"/>
            <wp:wrapSquare wrapText="bothSides"/>
            <wp:docPr id="4" name="图片 4" descr="微信图片_2024050915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509152740"/>
                    <pic:cNvPicPr>
                      <a:picLocks noChangeAspect="1"/>
                    </pic:cNvPicPr>
                  </pic:nvPicPr>
                  <pic:blipFill>
                    <a:blip r:embed="rId7"/>
                    <a:stretch>
                      <a:fillRect/>
                    </a:stretch>
                  </pic:blipFill>
                  <pic:spPr>
                    <a:xfrm>
                      <a:off x="0" y="0"/>
                      <a:ext cx="5398135" cy="1402080"/>
                    </a:xfrm>
                    <a:prstGeom prst="rect">
                      <a:avLst/>
                    </a:prstGeom>
                  </pic:spPr>
                </pic:pic>
              </a:graphicData>
            </a:graphic>
          </wp:anchor>
        </w:drawing>
      </w:r>
      <w:r>
        <w:rPr>
          <w:rFonts w:hint="eastAsia" w:ascii="仿宋" w:hAnsi="仿宋" w:eastAsia="仿宋" w:cs="仿宋"/>
          <w:b w:val="0"/>
          <w:bCs w:val="0"/>
          <w:kern w:val="2"/>
          <w:sz w:val="32"/>
          <w:szCs w:val="32"/>
          <w:lang w:val="en-US" w:eastAsia="zh-CN" w:bidi="ar-SA"/>
        </w:rPr>
        <w:t>本年决算支出342.29万元，预算执行率89.76%。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（1）根据预算安排，我中心项目资金全年预算264.4万元，用于工资福利支出的预算金额4.71万元，占1.78％；商品和服务支出的预算金额165.39万元，占62.5％；对个人和家庭的补助60万元，占22.69％。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（2）项目支出决算支出223.42万元，预算执行率84.48％。其中：商品和服务支出预算执行率117.60％。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（3）项目支出主要包括两类经费：一是业务工作经费主要是为保障信访业务工作开展设立的专项经费，包括 “浦江经验”办公经费、全国两会</w:t>
      </w:r>
      <w:bookmarkStart w:id="0" w:name="_GoBack"/>
      <w:bookmarkEnd w:id="0"/>
      <w:r>
        <w:rPr>
          <w:rFonts w:hint="eastAsia" w:ascii="仿宋" w:hAnsi="仿宋" w:eastAsia="仿宋" w:cs="仿宋"/>
          <w:b w:val="0"/>
          <w:bCs w:val="0"/>
          <w:kern w:val="2"/>
          <w:sz w:val="32"/>
          <w:szCs w:val="32"/>
          <w:lang w:val="en-US" w:eastAsia="zh-CN" w:bidi="ar-SA"/>
        </w:rPr>
        <w:t>信访维稳经费、日常应急处置费、省市两会信访维稳经费、 信访工作“三无”县区创建工作经费、驻长信访值班经费、驻京维稳劝返办工作经费等共计163.02万元。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二是信访疑难问题救助资金经费36.4万元，残疾人保障金缴费及工伤保险、失业保险单位部分缴费1.7万元。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（三）三公经费自评情况</w:t>
      </w:r>
    </w:p>
    <w:p>
      <w:pPr>
        <w:rPr>
          <w:rFonts w:hint="eastAsia"/>
          <w:lang w:val="en-US" w:eastAsia="zh-CN"/>
        </w:rPr>
      </w:pPr>
      <w:r>
        <w:rPr>
          <w:rFonts w:hint="eastAsia" w:ascii="Times New Roman" w:hAnsi="Times New Roman" w:eastAsia="仿宋_GB2312"/>
          <w:sz w:val="32"/>
          <w:szCs w:val="24"/>
          <w:lang w:eastAsia="zh-CN"/>
        </w:rPr>
        <w:drawing>
          <wp:anchor distT="0" distB="0" distL="114300" distR="114300" simplePos="0" relativeHeight="251661312" behindDoc="0" locked="0" layoutInCell="1" allowOverlap="1">
            <wp:simplePos x="0" y="0"/>
            <wp:positionH relativeFrom="column">
              <wp:posOffset>107315</wp:posOffset>
            </wp:positionH>
            <wp:positionV relativeFrom="paragraph">
              <wp:posOffset>137795</wp:posOffset>
            </wp:positionV>
            <wp:extent cx="4855845" cy="2427605"/>
            <wp:effectExtent l="0" t="0" r="1905" b="10795"/>
            <wp:wrapSquare wrapText="bothSides"/>
            <wp:docPr id="5" name="图片 5" descr="微信图片_2024050915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40509152744"/>
                    <pic:cNvPicPr>
                      <a:picLocks noChangeAspect="1"/>
                    </pic:cNvPicPr>
                  </pic:nvPicPr>
                  <pic:blipFill>
                    <a:blip r:embed="rId8"/>
                    <a:stretch>
                      <a:fillRect/>
                    </a:stretch>
                  </pic:blipFill>
                  <pic:spPr>
                    <a:xfrm>
                      <a:off x="0" y="0"/>
                      <a:ext cx="4855845" cy="2427605"/>
                    </a:xfrm>
                    <a:prstGeom prst="rect">
                      <a:avLst/>
                    </a:prstGeom>
                  </pic:spPr>
                </pic:pic>
              </a:graphicData>
            </a:graphic>
          </wp:anchor>
        </w:drawing>
      </w:r>
    </w:p>
    <w:p>
      <w:pPr>
        <w:pStyle w:val="10"/>
        <w:widowControl w:val="0"/>
        <w:numPr>
          <w:ilvl w:val="0"/>
          <w:numId w:val="0"/>
        </w:numPr>
        <w:spacing w:beforeLines="0" w:afterLines="0" w:line="570" w:lineRule="exact"/>
        <w:jc w:val="both"/>
        <w:outlineLvl w:val="1"/>
        <w:rPr>
          <w:rFonts w:hint="eastAsia" w:ascii="Times New Roman" w:hAnsi="Times New Roman" w:eastAsia="仿宋_GB2312"/>
          <w:sz w:val="32"/>
          <w:szCs w:val="24"/>
          <w:lang w:eastAsia="zh-CN"/>
        </w:rPr>
      </w:pPr>
    </w:p>
    <w:p>
      <w:pPr>
        <w:pStyle w:val="10"/>
        <w:widowControl w:val="0"/>
        <w:numPr>
          <w:ilvl w:val="0"/>
          <w:numId w:val="0"/>
        </w:numPr>
        <w:spacing w:beforeLines="0" w:afterLines="0" w:line="570" w:lineRule="exact"/>
        <w:jc w:val="both"/>
        <w:outlineLvl w:val="1"/>
        <w:rPr>
          <w:rFonts w:hint="default" w:ascii="Times New Roman" w:hAnsi="Times New Roman" w:eastAsia="仿宋_GB2312"/>
          <w:sz w:val="32"/>
          <w:szCs w:val="24"/>
        </w:rPr>
      </w:pPr>
    </w:p>
    <w:p>
      <w:pPr>
        <w:pStyle w:val="10"/>
        <w:widowControl w:val="0"/>
        <w:numPr>
          <w:ilvl w:val="0"/>
          <w:numId w:val="0"/>
        </w:numPr>
        <w:spacing w:beforeLines="0" w:afterLines="0" w:line="570" w:lineRule="exact"/>
        <w:jc w:val="both"/>
        <w:outlineLvl w:val="1"/>
        <w:rPr>
          <w:rFonts w:hint="default" w:ascii="Times New Roman" w:hAnsi="Times New Roman" w:eastAsia="仿宋_GB2312"/>
          <w:sz w:val="32"/>
          <w:szCs w:val="24"/>
        </w:rPr>
      </w:pPr>
    </w:p>
    <w:p>
      <w:pPr>
        <w:pStyle w:val="10"/>
        <w:widowControl w:val="0"/>
        <w:numPr>
          <w:ilvl w:val="0"/>
          <w:numId w:val="0"/>
        </w:numPr>
        <w:spacing w:beforeLines="0" w:afterLines="0" w:line="570" w:lineRule="exact"/>
        <w:jc w:val="both"/>
        <w:outlineLvl w:val="1"/>
        <w:rPr>
          <w:rFonts w:hint="default" w:ascii="Times New Roman" w:hAnsi="Times New Roman" w:eastAsia="仿宋_GB2312"/>
          <w:sz w:val="32"/>
          <w:szCs w:val="24"/>
        </w:rPr>
      </w:pPr>
    </w:p>
    <w:p>
      <w:pPr>
        <w:pStyle w:val="10"/>
        <w:widowControl w:val="0"/>
        <w:numPr>
          <w:ilvl w:val="0"/>
          <w:numId w:val="0"/>
        </w:numPr>
        <w:spacing w:beforeLines="0" w:afterLines="0" w:line="570" w:lineRule="exact"/>
        <w:jc w:val="both"/>
        <w:outlineLvl w:val="1"/>
        <w:rPr>
          <w:rFonts w:hint="default" w:ascii="Times New Roman" w:hAnsi="Times New Roman" w:eastAsia="仿宋_GB2312"/>
          <w:sz w:val="32"/>
          <w:szCs w:val="24"/>
        </w:rPr>
      </w:pPr>
    </w:p>
    <w:p>
      <w:pPr>
        <w:pStyle w:val="10"/>
        <w:widowControl w:val="0"/>
        <w:numPr>
          <w:ilvl w:val="0"/>
          <w:numId w:val="0"/>
        </w:numPr>
        <w:spacing w:beforeLines="0" w:afterLines="0" w:line="570" w:lineRule="exact"/>
        <w:jc w:val="both"/>
        <w:outlineLvl w:val="1"/>
        <w:rPr>
          <w:rFonts w:hint="default" w:ascii="Times New Roman" w:hAnsi="Times New Roman" w:eastAsia="仿宋_GB2312"/>
          <w:sz w:val="32"/>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我中心2023年</w:t>
      </w:r>
      <w:r>
        <w:rPr>
          <w:rFonts w:hint="default" w:ascii="仿宋" w:hAnsi="仿宋" w:eastAsia="仿宋" w:cs="仿宋"/>
          <w:b w:val="0"/>
          <w:bCs w:val="0"/>
          <w:kern w:val="2"/>
          <w:sz w:val="32"/>
          <w:szCs w:val="32"/>
          <w:lang w:val="en-US" w:eastAsia="zh-CN" w:bidi="ar-SA"/>
        </w:rPr>
        <w:t>“</w:t>
      </w:r>
      <w:r>
        <w:rPr>
          <w:rFonts w:hint="eastAsia" w:ascii="仿宋" w:hAnsi="仿宋" w:eastAsia="仿宋" w:cs="仿宋"/>
          <w:b w:val="0"/>
          <w:bCs w:val="0"/>
          <w:kern w:val="2"/>
          <w:sz w:val="32"/>
          <w:szCs w:val="32"/>
          <w:lang w:val="en-US" w:eastAsia="zh-CN" w:bidi="ar-SA"/>
        </w:rPr>
        <w:t>三公</w:t>
      </w:r>
      <w:r>
        <w:rPr>
          <w:rFonts w:hint="default" w:ascii="仿宋" w:hAnsi="仿宋" w:eastAsia="仿宋" w:cs="仿宋"/>
          <w:b w:val="0"/>
          <w:bCs w:val="0"/>
          <w:kern w:val="2"/>
          <w:sz w:val="32"/>
          <w:szCs w:val="32"/>
          <w:lang w:val="en-US" w:eastAsia="zh-CN" w:bidi="ar-SA"/>
        </w:rPr>
        <w:t>”</w:t>
      </w:r>
      <w:r>
        <w:rPr>
          <w:rFonts w:hint="eastAsia" w:ascii="仿宋" w:hAnsi="仿宋" w:eastAsia="仿宋" w:cs="仿宋"/>
          <w:b w:val="0"/>
          <w:bCs w:val="0"/>
          <w:kern w:val="2"/>
          <w:sz w:val="32"/>
          <w:szCs w:val="32"/>
          <w:lang w:val="en-US" w:eastAsia="zh-CN" w:bidi="ar-SA"/>
        </w:rPr>
        <w:t>经费完成1.45万元，比上年减少3.54万元，减少70.94%，增减变化的主要原因是：严格落实中央八项规定，厉行节约，减少本年度单位接待兄弟县区业务交流</w:t>
      </w:r>
      <w:r>
        <w:rPr>
          <w:rFonts w:hint="eastAsia" w:ascii="仿宋" w:hAnsi="仿宋" w:eastAsia="仿宋" w:cs="仿宋"/>
          <w:b w:val="0"/>
          <w:bCs w:val="0"/>
          <w:kern w:val="2"/>
          <w:sz w:val="32"/>
          <w:szCs w:val="32"/>
          <w:lang w:val="zh-CN" w:eastAsia="zh-CN" w:bidi="ar-SA"/>
        </w:rPr>
        <w:t>。其中：因公出国（境）费</w:t>
      </w:r>
      <w:r>
        <w:rPr>
          <w:rFonts w:hint="eastAsia" w:ascii="仿宋" w:hAnsi="仿宋" w:eastAsia="仿宋" w:cs="仿宋"/>
          <w:b w:val="0"/>
          <w:bCs w:val="0"/>
          <w:kern w:val="2"/>
          <w:sz w:val="32"/>
          <w:szCs w:val="32"/>
          <w:lang w:val="en-US" w:eastAsia="zh-CN" w:bidi="ar-SA"/>
        </w:rPr>
        <w:t>完成</w:t>
      </w:r>
      <w:r>
        <w:rPr>
          <w:rFonts w:hint="default" w:ascii="仿宋" w:hAnsi="仿宋" w:eastAsia="仿宋" w:cs="仿宋"/>
          <w:b w:val="0"/>
          <w:bCs w:val="0"/>
          <w:kern w:val="2"/>
          <w:sz w:val="32"/>
          <w:szCs w:val="32"/>
          <w:lang w:val="en-US" w:eastAsia="zh-CN" w:bidi="ar-SA"/>
        </w:rPr>
        <w:t>0</w:t>
      </w:r>
      <w:r>
        <w:rPr>
          <w:rFonts w:hint="eastAsia" w:ascii="仿宋" w:hAnsi="仿宋" w:eastAsia="仿宋" w:cs="仿宋"/>
          <w:b w:val="0"/>
          <w:bCs w:val="0"/>
          <w:kern w:val="2"/>
          <w:sz w:val="32"/>
          <w:szCs w:val="32"/>
          <w:lang w:val="en-US" w:eastAsia="zh-CN" w:bidi="ar-SA"/>
        </w:rPr>
        <w:t>元，与上年持平</w:t>
      </w:r>
      <w:r>
        <w:rPr>
          <w:rFonts w:hint="eastAsia" w:ascii="仿宋" w:hAnsi="仿宋" w:eastAsia="仿宋" w:cs="仿宋"/>
          <w:b w:val="0"/>
          <w:bCs w:val="0"/>
          <w:kern w:val="2"/>
          <w:sz w:val="32"/>
          <w:szCs w:val="32"/>
          <w:lang w:val="zh-CN" w:eastAsia="zh-CN" w:bidi="ar-SA"/>
        </w:rPr>
        <w:t>；公务接待费</w:t>
      </w:r>
      <w:r>
        <w:rPr>
          <w:rFonts w:hint="eastAsia" w:ascii="仿宋" w:hAnsi="仿宋" w:eastAsia="仿宋" w:cs="仿宋"/>
          <w:b w:val="0"/>
          <w:bCs w:val="0"/>
          <w:kern w:val="2"/>
          <w:sz w:val="32"/>
          <w:szCs w:val="32"/>
          <w:lang w:val="en-US" w:eastAsia="zh-CN" w:bidi="ar-SA"/>
        </w:rPr>
        <w:t>完成1.45万元，比上年减少3.54万元，减少70.94%，公务接待13批123人，减少的主要原因是：严格落实中央八项规定，厉行节约</w:t>
      </w:r>
      <w:r>
        <w:rPr>
          <w:rFonts w:hint="eastAsia" w:ascii="仿宋" w:hAnsi="仿宋" w:eastAsia="仿宋" w:cs="仿宋"/>
          <w:b w:val="0"/>
          <w:bCs w:val="0"/>
          <w:kern w:val="2"/>
          <w:sz w:val="32"/>
          <w:szCs w:val="32"/>
          <w:lang w:val="zh-CN" w:eastAsia="zh-CN" w:bidi="ar-SA"/>
        </w:rPr>
        <w:t>；公务用车购置及运行维护费</w:t>
      </w:r>
      <w:r>
        <w:rPr>
          <w:rFonts w:hint="eastAsia" w:ascii="仿宋" w:hAnsi="仿宋" w:eastAsia="仿宋" w:cs="仿宋"/>
          <w:b w:val="0"/>
          <w:bCs w:val="0"/>
          <w:kern w:val="2"/>
          <w:sz w:val="32"/>
          <w:szCs w:val="32"/>
          <w:lang w:val="en-US" w:eastAsia="zh-CN" w:bidi="ar-SA"/>
        </w:rPr>
        <w:t>完成</w:t>
      </w:r>
      <w:r>
        <w:rPr>
          <w:rFonts w:hint="default" w:ascii="仿宋" w:hAnsi="仿宋" w:eastAsia="仿宋" w:cs="仿宋"/>
          <w:b w:val="0"/>
          <w:bCs w:val="0"/>
          <w:kern w:val="2"/>
          <w:sz w:val="32"/>
          <w:szCs w:val="32"/>
          <w:lang w:val="en-US" w:eastAsia="zh-CN" w:bidi="ar-SA"/>
        </w:rPr>
        <w:t>0</w:t>
      </w:r>
      <w:r>
        <w:rPr>
          <w:rFonts w:hint="eastAsia" w:ascii="仿宋" w:hAnsi="仿宋" w:eastAsia="仿宋" w:cs="仿宋"/>
          <w:b w:val="0"/>
          <w:bCs w:val="0"/>
          <w:kern w:val="2"/>
          <w:sz w:val="32"/>
          <w:szCs w:val="32"/>
          <w:lang w:val="en-US" w:eastAsia="zh-CN" w:bidi="ar-SA"/>
        </w:rPr>
        <w:t>元，与上年持平</w:t>
      </w:r>
      <w:r>
        <w:rPr>
          <w:rFonts w:hint="eastAsia" w:ascii="仿宋" w:hAnsi="仿宋" w:eastAsia="仿宋" w:cs="仿宋"/>
          <w:b w:val="0"/>
          <w:bCs w:val="0"/>
          <w:kern w:val="2"/>
          <w:sz w:val="32"/>
          <w:szCs w:val="32"/>
          <w:lang w:val="zh-CN" w:eastAsia="zh-CN" w:bidi="ar-SA"/>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本年三公经费支出总额1.45万元，预算执行率29％。公务接待费决算支出1.99万元，预算执行率29％。</w:t>
      </w:r>
    </w:p>
    <w:p>
      <w:pPr>
        <w:pStyle w:val="10"/>
        <w:spacing w:beforeLines="0" w:afterLines="0" w:line="570" w:lineRule="exact"/>
        <w:ind w:left="0" w:leftChars="0" w:firstLine="640" w:firstLineChars="200"/>
        <w:jc w:val="left"/>
        <w:outlineLvl w:val="0"/>
        <w:rPr>
          <w:rFonts w:hint="eastAsia" w:ascii="Times New Roman" w:hAnsi="Times New Roman" w:eastAsia="黑体"/>
          <w:sz w:val="32"/>
          <w:szCs w:val="24"/>
        </w:rPr>
      </w:pPr>
      <w:r>
        <w:rPr>
          <w:rFonts w:hint="eastAsia" w:ascii="Times New Roman" w:hAnsi="Times New Roman" w:eastAsia="黑体"/>
          <w:sz w:val="32"/>
          <w:szCs w:val="24"/>
        </w:rPr>
        <w:t>三、政府性基金预算支出情况。</w:t>
      </w:r>
    </w:p>
    <w:p>
      <w:pPr>
        <w:pStyle w:val="10"/>
        <w:spacing w:beforeLines="0" w:afterLines="0" w:line="570" w:lineRule="exact"/>
        <w:ind w:firstLine="640"/>
        <w:jc w:val="left"/>
        <w:outlineLvl w:val="0"/>
        <w:rPr>
          <w:rFonts w:hint="eastAsia" w:ascii="Times New Roman" w:hAnsi="Times New Roman" w:eastAsia="仿宋_GB2312"/>
          <w:color w:val="000000"/>
          <w:sz w:val="32"/>
          <w:szCs w:val="24"/>
          <w:lang w:eastAsia="zh-CN"/>
        </w:rPr>
      </w:pPr>
      <w:r>
        <w:rPr>
          <w:rFonts w:hint="eastAsia" w:ascii="Times New Roman" w:hAnsi="Times New Roman" w:eastAsia="仿宋_GB2312"/>
          <w:color w:val="000000"/>
          <w:sz w:val="32"/>
          <w:szCs w:val="24"/>
        </w:rPr>
        <w:t>我单位无政府性基金预算支出情况</w:t>
      </w:r>
      <w:r>
        <w:rPr>
          <w:rFonts w:hint="eastAsia" w:ascii="Times New Roman" w:hAnsi="Times New Roman" w:eastAsia="仿宋_GB2312"/>
          <w:color w:val="000000"/>
          <w:sz w:val="32"/>
          <w:szCs w:val="24"/>
          <w:lang w:eastAsia="zh-CN"/>
        </w:rPr>
        <w:t>。</w:t>
      </w:r>
    </w:p>
    <w:p>
      <w:pPr>
        <w:pStyle w:val="10"/>
        <w:numPr>
          <w:ilvl w:val="0"/>
          <w:numId w:val="3"/>
        </w:numPr>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国有资本经营预算支出情况。</w:t>
      </w:r>
    </w:p>
    <w:p>
      <w:pPr>
        <w:pStyle w:val="10"/>
        <w:numPr>
          <w:ilvl w:val="0"/>
          <w:numId w:val="0"/>
        </w:numPr>
        <w:spacing w:beforeLines="0" w:afterLines="0" w:line="570" w:lineRule="exact"/>
        <w:ind w:firstLine="640" w:firstLineChars="200"/>
        <w:jc w:val="left"/>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我单位无国有资本经营预算支出情况</w:t>
      </w:r>
      <w:r>
        <w:rPr>
          <w:rFonts w:hint="eastAsia" w:ascii="Times New Roman" w:hAnsi="Times New Roman" w:eastAsia="仿宋_GB2312"/>
          <w:color w:val="000000"/>
          <w:sz w:val="32"/>
          <w:szCs w:val="24"/>
          <w:lang w:eastAsia="zh-CN"/>
        </w:rPr>
        <w:t>。</w:t>
      </w:r>
    </w:p>
    <w:p>
      <w:pPr>
        <w:pStyle w:val="10"/>
        <w:numPr>
          <w:ilvl w:val="0"/>
          <w:numId w:val="3"/>
        </w:numPr>
        <w:spacing w:beforeLines="0" w:afterLines="0" w:line="570" w:lineRule="exact"/>
        <w:ind w:left="0" w:leftChars="0" w:firstLine="640" w:firstLineChars="200"/>
        <w:jc w:val="left"/>
        <w:outlineLvl w:val="0"/>
        <w:rPr>
          <w:rFonts w:hint="eastAsia" w:ascii="Times New Roman" w:hAnsi="Times New Roman" w:eastAsia="黑体"/>
          <w:sz w:val="32"/>
          <w:szCs w:val="24"/>
        </w:rPr>
      </w:pPr>
      <w:r>
        <w:rPr>
          <w:rFonts w:hint="eastAsia" w:ascii="Times New Roman" w:hAnsi="Times New Roman" w:eastAsia="黑体"/>
          <w:sz w:val="32"/>
          <w:szCs w:val="24"/>
        </w:rPr>
        <w:t>社会保险基金预算支出情况。</w:t>
      </w:r>
    </w:p>
    <w:p>
      <w:pPr>
        <w:pStyle w:val="10"/>
        <w:numPr>
          <w:ilvl w:val="0"/>
          <w:numId w:val="0"/>
        </w:numPr>
        <w:spacing w:beforeLines="0" w:afterLines="0" w:line="570" w:lineRule="exact"/>
        <w:ind w:leftChars="200" w:firstLine="320" w:firstLineChars="100"/>
        <w:jc w:val="left"/>
        <w:outlineLvl w:val="0"/>
        <w:rPr>
          <w:rFonts w:hint="eastAsia" w:ascii="Times New Roman" w:hAnsi="Times New Roman" w:eastAsia="仿宋_GB2312"/>
          <w:sz w:val="32"/>
          <w:szCs w:val="24"/>
          <w:lang w:eastAsia="zh-CN"/>
        </w:rPr>
      </w:pPr>
      <w:r>
        <w:rPr>
          <w:rFonts w:hint="eastAsia" w:ascii="Times New Roman" w:hAnsi="Times New Roman" w:eastAsia="仿宋_GB2312"/>
          <w:color w:val="000000"/>
          <w:sz w:val="32"/>
          <w:szCs w:val="24"/>
        </w:rPr>
        <w:t>我单位无社会保险基金预算支出情况</w:t>
      </w:r>
      <w:r>
        <w:rPr>
          <w:rFonts w:hint="eastAsia" w:ascii="Times New Roman" w:hAnsi="Times New Roman" w:eastAsia="仿宋_GB2312"/>
          <w:color w:val="000000"/>
          <w:sz w:val="32"/>
          <w:szCs w:val="24"/>
          <w:lang w:eastAsia="zh-CN"/>
        </w:rPr>
        <w:t>。</w:t>
      </w:r>
    </w:p>
    <w:p>
      <w:pPr>
        <w:spacing w:beforeLines="0" w:afterLines="0" w:line="570" w:lineRule="exact"/>
        <w:ind w:firstLine="645"/>
        <w:jc w:val="left"/>
        <w:outlineLvl w:val="0"/>
        <w:rPr>
          <w:rFonts w:hint="default" w:eastAsia="黑体"/>
          <w:sz w:val="32"/>
          <w:szCs w:val="24"/>
        </w:rPr>
      </w:pPr>
      <w:r>
        <w:rPr>
          <w:rFonts w:hint="eastAsia" w:eastAsia="黑体"/>
          <w:sz w:val="32"/>
          <w:szCs w:val="24"/>
        </w:rPr>
        <w:t>六、部门整体支出绩效情况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（一）及时制定了自评实施方案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根据《双牌县财政局关于开展2023年度预算部门绩效自评工作的通知》（双财绩[2024]2号）文件精神，我中心及时制定了2023年度部门整体支出绩效自评工作的实施方案，成立了绩效评价工作小组，我中心成立了预算绩效评价工作领导小组，党支部书记、信访事务中心主任高才生为组长，信访事务中心副主任、分管财务领导李光胜为副组长，网信室主任卢毅、办公室主任赵萍、财务人员陈华英等三名同志为成员，切实加强对绩效工作的组织领导，保证各项工作有序高效开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（二）加强制度建设，强化绩效管理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大力推行预算绩效管理工作，探索建立绩效评价体系，着重对基本支出、三公经费和项目支出情况进行评价。逐步把预算支出管理工作重心转移到提高效率上来。中心党支部对超过5万元的项目预算都认真研究，集体讨论项目的可行性、实效性及合法性等问题，把绩效理念贯穿到预算支出管理全过程，构建注重绩效、结构优化、分配科学、管理规范的业务专项经费管理新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（三）认真开展绩效自评工作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根据通知要求，中心办公室向有关业务股室下发了项目支出绩效自评表，有关业务股室均完成了本股室的项目资金的绩效自评工作，向办公室提交了绩效自评表。中心绩效自评工作小组对单位预算资金管理情况进行了全面自查、自评，对有关业务股室填报、提交的自评材料进行了审核和综合评价，汇总形成了本绩效自评报告，并呈送主要领导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（四）2023年我中心取得的主要工作成绩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2023年来，在县委、县政府的正确领导和市信访局的精心指导下，深入学习贯彻习近平总书记关于加强和改进人民信访工作的重要思想，以“示范县”创建为目标，实现了全国、省市两会等特防期信访维稳工作“六个零、三个不发生”目标，全县信访形势平稳可控。</w:t>
      </w:r>
    </w:p>
    <w:p>
      <w:pPr>
        <w:pStyle w:val="10"/>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预算精细化水平还有待提升，特别是进一步提高人员经费预算编制科学化、精细化程度。存在部分项目决算支出与预算支出有差距。</w:t>
      </w:r>
    </w:p>
    <w:p>
      <w:pPr>
        <w:numPr>
          <w:ilvl w:val="0"/>
          <w:numId w:val="4"/>
        </w:numPr>
        <w:spacing w:beforeLines="0" w:afterLines="0" w:line="570" w:lineRule="exact"/>
        <w:ind w:firstLine="640" w:firstLineChars="200"/>
        <w:jc w:val="left"/>
        <w:outlineLvl w:val="0"/>
        <w:rPr>
          <w:rFonts w:hint="eastAsia" w:eastAsia="黑体"/>
          <w:sz w:val="32"/>
          <w:szCs w:val="24"/>
        </w:rPr>
      </w:pPr>
      <w:r>
        <w:rPr>
          <w:rFonts w:hint="eastAsia" w:eastAsia="黑体"/>
          <w:sz w:val="32"/>
          <w:szCs w:val="24"/>
        </w:rPr>
        <w:t>下一步改进措施</w:t>
      </w:r>
    </w:p>
    <w:p>
      <w:pPr>
        <w:numPr>
          <w:ilvl w:val="0"/>
          <w:numId w:val="0"/>
        </w:numPr>
        <w:spacing w:beforeLines="0" w:afterLines="0" w:line="570" w:lineRule="exact"/>
        <w:ind w:firstLine="640" w:firstLineChars="200"/>
        <w:jc w:val="left"/>
        <w:outlineLvl w:val="0"/>
        <w:rPr>
          <w:rFonts w:hint="default" w:eastAsia="黑体"/>
          <w:sz w:val="32"/>
          <w:szCs w:val="24"/>
        </w:rPr>
      </w:pPr>
      <w:r>
        <w:rPr>
          <w:rFonts w:hint="eastAsia" w:ascii="仿宋" w:hAnsi="仿宋" w:eastAsia="仿宋" w:cs="仿宋"/>
          <w:b w:val="0"/>
          <w:bCs w:val="0"/>
          <w:kern w:val="2"/>
          <w:sz w:val="32"/>
          <w:szCs w:val="32"/>
          <w:lang w:val="en-US" w:eastAsia="zh-CN" w:bidi="ar-SA"/>
        </w:rPr>
        <w:t>进一步健全和完善财务管理制度及内部控制制度，创新管理手段，用新思路、新方法，改进完善财务管理方法。按照财政支出绩效管理的要求，建立科学的财政资金效益考评制度体系，不断提高财政资金使用管理的水平和效率。</w:t>
      </w:r>
    </w:p>
    <w:p>
      <w:pPr>
        <w:numPr>
          <w:ilvl w:val="0"/>
          <w:numId w:val="4"/>
        </w:numPr>
        <w:spacing w:beforeLines="0" w:afterLines="0" w:line="570" w:lineRule="exact"/>
        <w:ind w:left="0" w:leftChars="0" w:firstLine="640" w:firstLineChars="200"/>
        <w:jc w:val="left"/>
        <w:outlineLvl w:val="0"/>
        <w:rPr>
          <w:rFonts w:hint="eastAsia" w:eastAsia="黑体"/>
          <w:sz w:val="32"/>
          <w:szCs w:val="24"/>
        </w:rPr>
      </w:pPr>
      <w:r>
        <w:rPr>
          <w:rFonts w:hint="eastAsia" w:eastAsia="黑体"/>
          <w:sz w:val="32"/>
          <w:szCs w:val="24"/>
        </w:rPr>
        <w:t>部门整体支出绩效自评结果拟应用和公开情况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Times New Roman"/>
          <w:b w:val="0"/>
          <w:bCs w:val="0"/>
          <w:kern w:val="2"/>
          <w:sz w:val="32"/>
          <w:szCs w:val="21"/>
          <w:lang w:val="en-US" w:eastAsia="zh-CN" w:bidi="ar-SA"/>
        </w:rPr>
      </w:pPr>
      <w:r>
        <w:rPr>
          <w:rFonts w:hint="eastAsia" w:ascii="仿宋" w:hAnsi="仿宋" w:eastAsia="仿宋" w:cs="Times New Roman"/>
          <w:b w:val="0"/>
          <w:bCs w:val="0"/>
          <w:kern w:val="2"/>
          <w:sz w:val="32"/>
          <w:szCs w:val="21"/>
          <w:lang w:val="en-US" w:eastAsia="zh-CN" w:bidi="ar-SA"/>
        </w:rPr>
        <w:t>对绩效自评结果，我中心拟应用和公开情况如下：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Times New Roman"/>
          <w:b w:val="0"/>
          <w:bCs w:val="0"/>
          <w:kern w:val="2"/>
          <w:sz w:val="32"/>
          <w:szCs w:val="21"/>
          <w:lang w:val="en-US" w:eastAsia="zh-CN" w:bidi="ar-SA"/>
        </w:rPr>
      </w:pPr>
      <w:r>
        <w:rPr>
          <w:rFonts w:hint="eastAsia" w:ascii="仿宋" w:hAnsi="仿宋" w:eastAsia="仿宋" w:cs="Times New Roman"/>
          <w:b w:val="0"/>
          <w:bCs w:val="0"/>
          <w:kern w:val="2"/>
          <w:sz w:val="32"/>
          <w:szCs w:val="21"/>
          <w:lang w:val="en-US" w:eastAsia="zh-CN" w:bidi="ar-SA"/>
        </w:rPr>
        <w:t>（一）全面公开绩效自评报告。我中心将按照省财政厅统一要求，在2024年6月30日前将部门整体支出绩效自评报告在门户网站公开，接受社会监督。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rPr>
      </w:pPr>
      <w:r>
        <w:rPr>
          <w:rFonts w:hint="eastAsia" w:ascii="仿宋" w:hAnsi="仿宋" w:eastAsia="仿宋" w:cs="Times New Roman"/>
          <w:b w:val="0"/>
          <w:bCs w:val="0"/>
          <w:kern w:val="2"/>
          <w:sz w:val="32"/>
          <w:szCs w:val="21"/>
          <w:lang w:val="en-US" w:eastAsia="zh-CN" w:bidi="ar-SA"/>
        </w:rPr>
        <w:t>（二）及时整改。就绩效自评中发现的问题切实整改并落实到位。</w:t>
      </w:r>
    </w:p>
    <w:p>
      <w:pPr>
        <w:spacing w:beforeLines="0" w:afterLines="0" w:line="570" w:lineRule="exact"/>
        <w:ind w:firstLine="645"/>
        <w:jc w:val="left"/>
        <w:rPr>
          <w:rFonts w:hint="default" w:eastAsia="黑体"/>
          <w:sz w:val="32"/>
          <w:szCs w:val="24"/>
        </w:rPr>
      </w:pPr>
      <w:r>
        <w:rPr>
          <w:rFonts w:hint="eastAsia" w:eastAsia="黑体"/>
          <w:sz w:val="32"/>
          <w:szCs w:val="24"/>
        </w:rPr>
        <w:t>其他需要说明的情况</w:t>
      </w:r>
    </w:p>
    <w:p>
      <w:pPr>
        <w:spacing w:beforeLines="0" w:after="120" w:afterLines="50" w:line="600" w:lineRule="exact"/>
        <w:rPr>
          <w:rFonts w:hint="default" w:eastAsia="黑体"/>
          <w:sz w:val="32"/>
          <w:szCs w:val="24"/>
          <w:lang w:val="en-US" w:eastAsia="zh-CN"/>
        </w:rPr>
      </w:pPr>
      <w:r>
        <w:rPr>
          <w:rFonts w:hint="eastAsia" w:eastAsia="黑体"/>
          <w:sz w:val="32"/>
          <w:szCs w:val="24"/>
          <w:lang w:val="en-US" w:eastAsia="zh-CN"/>
        </w:rPr>
        <w:t xml:space="preserve">    </w:t>
      </w:r>
      <w:r>
        <w:rPr>
          <w:rFonts w:hint="eastAsia" w:ascii="仿宋" w:hAnsi="仿宋" w:eastAsia="仿宋" w:cs="Times New Roman"/>
          <w:b w:val="0"/>
          <w:bCs w:val="0"/>
          <w:kern w:val="2"/>
          <w:sz w:val="32"/>
          <w:szCs w:val="21"/>
          <w:lang w:val="en-US" w:eastAsia="zh-CN" w:bidi="ar-SA"/>
        </w:rPr>
        <w:t>无。</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年度部门整体支出绩效评价基础数据表</w:t>
      </w:r>
    </w:p>
    <w:tbl>
      <w:tblPr>
        <w:tblStyle w:val="7"/>
        <w:tblW w:w="960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100%</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val="0"/>
                <w:bCs/>
                <w:sz w:val="24"/>
                <w:szCs w:val="24"/>
                <w:lang w:val="en-US" w:eastAsia="zh-CN"/>
              </w:rPr>
              <w:t>4.8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4.2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2.8</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3.2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4.99</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1.45</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4.99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1.45</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1.工资福利支出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4.71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商品和服务支出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196.76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165.39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163.02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对个人和家庭补助</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7.6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60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36.4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pPr>
              <w:numPr>
                <w:ilvl w:val="0"/>
                <w:numId w:val="5"/>
              </w:num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严格控制公务接待和差旅费用支出。</w:t>
            </w:r>
          </w:p>
          <w:p>
            <w:pPr>
              <w:numPr>
                <w:ilvl w:val="0"/>
                <w:numId w:val="5"/>
              </w:numPr>
              <w:spacing w:beforeLines="0" w:afterLines="0"/>
              <w:ind w:left="0" w:leftChars="0" w:firstLine="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严格控制办公设备设施的建设和购置。</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3、控制会议、文件等一般性支出，强化日常节约管理。</w:t>
            </w:r>
            <w:r>
              <w:rPr>
                <w:rFonts w:hint="eastAsia" w:asciiTheme="minorEastAsia" w:hAnsiTheme="minorEastAsia" w:eastAsiaTheme="minorEastAsia" w:cstheme="minorEastAsia"/>
                <w:sz w:val="24"/>
                <w:szCs w:val="24"/>
              </w:rPr>
              <w:t>　</w:t>
            </w:r>
          </w:p>
        </w:tc>
      </w:tr>
    </w:tbl>
    <w:p>
      <w:pPr>
        <w:spacing w:beforeLines="0" w:afterLines="0" w:line="100" w:lineRule="exact"/>
        <w:jc w:val="left"/>
        <w:rPr>
          <w:rFonts w:hint="eastAsia" w:asciiTheme="minorEastAsia" w:hAnsiTheme="minorEastAsia" w:eastAsiaTheme="minorEastAsia" w:cstheme="minorEastAsia"/>
          <w:sz w:val="24"/>
          <w:szCs w:val="24"/>
        </w:rPr>
      </w:pPr>
    </w:p>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spacing w:beforeLines="0" w:afterLines="0" w:line="100" w:lineRule="exact"/>
        <w:jc w:val="left"/>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陈华英</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填报日期：</w:t>
      </w:r>
      <w:r>
        <w:rPr>
          <w:rFonts w:hint="eastAsia" w:asciiTheme="minorEastAsia" w:hAnsiTheme="minorEastAsia" w:eastAsiaTheme="minorEastAsia" w:cstheme="minorEastAsia"/>
          <w:sz w:val="24"/>
          <w:szCs w:val="24"/>
          <w:lang w:val="en-US" w:eastAsia="zh-CN"/>
        </w:rPr>
        <w:t>2024.4.10</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7727167</w:t>
      </w:r>
      <w:r>
        <w:rPr>
          <w:rFonts w:hint="eastAsia" w:asciiTheme="minorEastAsia" w:hAnsiTheme="minorEastAsia" w:eastAsiaTheme="minorEastAsia" w:cstheme="minorEastAsia"/>
          <w:sz w:val="24"/>
          <w:szCs w:val="24"/>
        </w:rPr>
        <w:t xml:space="preserve"> 单位负责人签字：</w:t>
      </w:r>
      <w:r>
        <w:rPr>
          <w:rFonts w:hint="default" w:eastAsia="仿宋_GB2312"/>
          <w:sz w:val="22"/>
          <w:szCs w:val="24"/>
        </w:rPr>
        <w:br w:type="page"/>
      </w: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年度部门整体支出绩效自评表</w:t>
      </w:r>
    </w:p>
    <w:tbl>
      <w:tblPr>
        <w:tblStyle w:val="7"/>
        <w:tblW w:w="931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948"/>
        <w:gridCol w:w="930"/>
        <w:gridCol w:w="1146"/>
        <w:gridCol w:w="441"/>
        <w:gridCol w:w="870"/>
        <w:gridCol w:w="969"/>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eastAsia="仿宋_GB2312"/>
                <w:color w:val="000000"/>
                <w:kern w:val="0"/>
                <w:lang w:eastAsia="zh-CN"/>
              </w:rPr>
              <w:t>双牌县信访事务中心</w:t>
            </w:r>
            <w:r>
              <w:rPr>
                <w:rFonts w:eastAsia="仿宋_GB2312"/>
                <w:color w:val="000000"/>
                <w:kern w:val="0"/>
              </w:rPr>
              <w:t>　</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114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31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仿宋_GB2312" w:hAnsi="仿宋_GB2312"/>
                <w:kern w:val="0"/>
                <w:lang w:val="en-US" w:eastAsia="zh-CN"/>
              </w:rPr>
              <w:t>381.32</w:t>
            </w:r>
          </w:p>
        </w:tc>
        <w:tc>
          <w:tcPr>
            <w:tcW w:w="131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342.29</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342.29</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89.76</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33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014"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33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其中：  一般公共预算：</w:t>
            </w:r>
            <w:r>
              <w:rPr>
                <w:rFonts w:hint="eastAsia" w:ascii="仿宋_GB2312" w:hAnsi="仿宋_GB2312"/>
                <w:kern w:val="0"/>
                <w:lang w:val="en-US" w:eastAsia="zh-CN"/>
              </w:rPr>
              <w:t>367.72</w:t>
            </w:r>
          </w:p>
        </w:tc>
        <w:tc>
          <w:tcPr>
            <w:tcW w:w="4014"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其中：基本支出：</w:t>
            </w:r>
            <w:r>
              <w:rPr>
                <w:rFonts w:hint="eastAsia" w:ascii="仿宋_GB2312" w:hAnsi="仿宋_GB2312"/>
                <w:kern w:val="0"/>
                <w:lang w:val="en-US" w:eastAsia="zh-CN"/>
              </w:rPr>
              <w:t>116.92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33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960" w:firstLineChars="4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政府性基金拨款：</w:t>
            </w:r>
          </w:p>
        </w:tc>
        <w:tc>
          <w:tcPr>
            <w:tcW w:w="4014"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项目支出：</w:t>
            </w:r>
            <w:r>
              <w:rPr>
                <w:rFonts w:hint="eastAsia" w:ascii="仿宋_GB2312" w:hAnsi="仿宋_GB2312"/>
                <w:kern w:val="0"/>
                <w:lang w:val="en-US" w:eastAsia="zh-CN"/>
              </w:rPr>
              <w:t>264.40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33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014"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33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1680" w:firstLineChars="7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4014"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33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014"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33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仿宋_GB2312" w:hAnsi="仿宋_GB2312"/>
                <w:kern w:val="0"/>
                <w:lang w:val="en-US" w:eastAsia="zh-CN"/>
              </w:rPr>
              <w:t>争创全省信访工作示范县区</w:t>
            </w:r>
            <w:r>
              <w:rPr>
                <w:rFonts w:hint="eastAsia" w:asciiTheme="minorEastAsia" w:hAnsiTheme="minorEastAsia" w:eastAsiaTheme="minorEastAsia" w:cstheme="minorEastAsia"/>
                <w:color w:val="000000"/>
                <w:sz w:val="24"/>
                <w:szCs w:val="24"/>
              </w:rPr>
              <w:t>　　</w:t>
            </w:r>
          </w:p>
        </w:tc>
        <w:tc>
          <w:tcPr>
            <w:tcW w:w="4014"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未完成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58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8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任务完成</w:t>
            </w:r>
          </w:p>
        </w:tc>
        <w:tc>
          <w:tcPr>
            <w:tcW w:w="158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ascii="仿宋_GB2312" w:hAnsi="仿宋_GB2312"/>
                <w:kern w:val="0"/>
                <w:lang w:val="en-US" w:eastAsia="zh-CN"/>
              </w:rPr>
              <w:t>全力做好信访、维稳、联席、调纠各项工作，及时化解和调处全县各类矛盾纠纷。</w:t>
            </w:r>
          </w:p>
        </w:tc>
        <w:tc>
          <w:tcPr>
            <w:tcW w:w="8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信访形势稳定</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信访形势稳定</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58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仿宋_GB2312" w:hAnsi="仿宋_GB2312"/>
                <w:kern w:val="0"/>
                <w:lang w:val="en-US" w:eastAsia="zh-CN"/>
              </w:rPr>
              <w:t>争创全省信访工作示范县区</w:t>
            </w:r>
          </w:p>
        </w:tc>
        <w:tc>
          <w:tcPr>
            <w:tcW w:w="8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1次</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0次</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58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宋体" w:hAnsi="宋体" w:eastAsia="宋体" w:cs="宋体"/>
                <w:i w:val="0"/>
                <w:caps w:val="0"/>
                <w:color w:val="000000"/>
                <w:spacing w:val="0"/>
                <w:sz w:val="21"/>
                <w:szCs w:val="21"/>
                <w:shd w:val="clear" w:color="auto" w:fill="FFFFFF"/>
              </w:rPr>
              <w:t>开展</w:t>
            </w:r>
            <w:r>
              <w:rPr>
                <w:rFonts w:hint="eastAsia" w:ascii="宋体" w:hAnsi="宋体" w:eastAsia="宋体" w:cs="宋体"/>
                <w:i w:val="0"/>
                <w:caps w:val="0"/>
                <w:color w:val="000000"/>
                <w:spacing w:val="0"/>
                <w:sz w:val="21"/>
                <w:szCs w:val="21"/>
                <w:shd w:val="clear" w:color="auto" w:fill="FFFFFF"/>
                <w:lang w:eastAsia="zh-CN"/>
              </w:rPr>
              <w:t>信访积案化解</w:t>
            </w:r>
          </w:p>
        </w:tc>
        <w:tc>
          <w:tcPr>
            <w:tcW w:w="8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1次</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1次</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58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hint="eastAsia" w:asciiTheme="minorEastAsia" w:hAnsiTheme="minorEastAsia" w:eastAsiaTheme="minorEastAsia" w:cstheme="minorEastAsia"/>
                <w:color w:val="000000"/>
                <w:sz w:val="24"/>
                <w:szCs w:val="24"/>
                <w:lang w:eastAsia="zh-CN"/>
              </w:rPr>
            </w:pPr>
            <w:r>
              <w:rPr>
                <w:rFonts w:hint="eastAsia" w:ascii="宋体" w:hAnsi="宋体" w:eastAsia="宋体" w:cs="宋体"/>
                <w:i w:val="0"/>
                <w:caps w:val="0"/>
                <w:color w:val="000000"/>
                <w:spacing w:val="0"/>
                <w:sz w:val="21"/>
                <w:szCs w:val="21"/>
                <w:shd w:val="clear" w:color="auto" w:fill="FFFFFF"/>
                <w:lang w:eastAsia="zh-CN"/>
              </w:rPr>
              <w:t>开展学习践行浦江经验专项活动</w:t>
            </w:r>
          </w:p>
        </w:tc>
        <w:tc>
          <w:tcPr>
            <w:tcW w:w="87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Theme="minorEastAsia" w:hAnsiTheme="minorEastAsia" w:eastAsiaTheme="minorEastAsia" w:cstheme="minorEastAsia"/>
                <w:color w:val="000000"/>
                <w:sz w:val="24"/>
                <w:szCs w:val="24"/>
              </w:rPr>
            </w:pPr>
            <w:r>
              <w:rPr>
                <w:rFonts w:hint="eastAsia" w:ascii="宋体" w:hAnsi="宋体" w:eastAsia="宋体" w:cs="宋体"/>
                <w:i w:val="0"/>
                <w:caps w:val="0"/>
                <w:color w:val="000000"/>
                <w:spacing w:val="0"/>
                <w:sz w:val="21"/>
                <w:szCs w:val="21"/>
                <w:shd w:val="clear" w:color="auto" w:fill="FFFFFF"/>
              </w:rPr>
              <w:t>6次</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caps w:val="0"/>
                <w:color w:val="000000"/>
                <w:spacing w:val="0"/>
                <w:sz w:val="21"/>
                <w:szCs w:val="21"/>
                <w:shd w:val="clear" w:color="auto" w:fill="FFFFFF"/>
              </w:rPr>
              <w:t>6次</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58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宋体" w:hAnsi="宋体" w:eastAsia="宋体" w:cs="宋体"/>
                <w:i w:val="0"/>
                <w:caps w:val="0"/>
                <w:color w:val="000000"/>
                <w:spacing w:val="0"/>
                <w:sz w:val="21"/>
                <w:szCs w:val="21"/>
                <w:shd w:val="clear" w:color="auto" w:fill="FFFFFF"/>
              </w:rPr>
              <w:t>信访基础业务满意度评价参评率达标</w:t>
            </w:r>
          </w:p>
        </w:tc>
        <w:tc>
          <w:tcPr>
            <w:tcW w:w="8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caps w:val="0"/>
                <w:color w:val="000000"/>
                <w:spacing w:val="0"/>
                <w:sz w:val="21"/>
                <w:szCs w:val="21"/>
                <w:shd w:val="clear" w:color="auto" w:fill="FFFFFF"/>
              </w:rPr>
              <w:t>70%</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90%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58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hint="eastAsia" w:asciiTheme="minorEastAsia" w:hAnsiTheme="minorEastAsia" w:eastAsiaTheme="minorEastAsia" w:cstheme="minorEastAsia"/>
                <w:color w:val="000000"/>
                <w:sz w:val="24"/>
                <w:szCs w:val="24"/>
              </w:rPr>
            </w:pPr>
            <w:r>
              <w:rPr>
                <w:rFonts w:hint="eastAsia" w:ascii="宋体" w:hAnsi="宋体" w:eastAsia="宋体" w:cs="宋体"/>
                <w:i w:val="0"/>
                <w:caps w:val="0"/>
                <w:color w:val="000000"/>
                <w:spacing w:val="0"/>
                <w:sz w:val="21"/>
                <w:szCs w:val="21"/>
                <w:shd w:val="clear" w:color="auto" w:fill="FFFFFF"/>
              </w:rPr>
              <w:t>开展专题学习宣传活动、业务培训活动</w:t>
            </w:r>
          </w:p>
        </w:tc>
        <w:tc>
          <w:tcPr>
            <w:tcW w:w="87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Theme="minorEastAsia" w:hAnsiTheme="minorEastAsia" w:eastAsiaTheme="minorEastAsia" w:cstheme="minorEastAsia"/>
                <w:color w:val="000000"/>
                <w:sz w:val="24"/>
                <w:szCs w:val="24"/>
              </w:rPr>
            </w:pPr>
            <w:r>
              <w:rPr>
                <w:rFonts w:hint="eastAsia" w:ascii="宋体" w:hAnsi="宋体" w:eastAsia="宋体" w:cs="宋体"/>
                <w:i w:val="0"/>
                <w:caps w:val="0"/>
                <w:color w:val="000000"/>
                <w:spacing w:val="0"/>
                <w:sz w:val="21"/>
                <w:szCs w:val="21"/>
                <w:shd w:val="clear" w:color="auto" w:fill="FFFFFF"/>
                <w:lang w:val="en-US" w:eastAsia="zh-CN"/>
              </w:rPr>
              <w:t>6</w:t>
            </w:r>
            <w:r>
              <w:rPr>
                <w:rFonts w:hint="eastAsia" w:ascii="宋体" w:hAnsi="宋体" w:eastAsia="宋体" w:cs="宋体"/>
                <w:i w:val="0"/>
                <w:caps w:val="0"/>
                <w:color w:val="000000"/>
                <w:spacing w:val="0"/>
                <w:sz w:val="21"/>
                <w:szCs w:val="21"/>
                <w:shd w:val="clear" w:color="auto" w:fill="FFFFFF"/>
              </w:rPr>
              <w:t>次</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Theme="minorEastAsia" w:hAnsiTheme="minorEastAsia" w:eastAsiaTheme="minorEastAsia" w:cstheme="minorEastAsia"/>
                <w:color w:val="000000"/>
                <w:sz w:val="24"/>
                <w:szCs w:val="24"/>
              </w:rPr>
            </w:pPr>
            <w:r>
              <w:rPr>
                <w:rFonts w:hint="eastAsia" w:ascii="宋体" w:hAnsi="宋体" w:eastAsia="宋体" w:cs="宋体"/>
                <w:i w:val="0"/>
                <w:caps w:val="0"/>
                <w:color w:val="000000"/>
                <w:spacing w:val="0"/>
                <w:sz w:val="21"/>
                <w:szCs w:val="21"/>
                <w:shd w:val="clear" w:color="auto" w:fill="FFFFFF"/>
                <w:lang w:val="en-US" w:eastAsia="zh-CN"/>
              </w:rPr>
              <w:t>6</w:t>
            </w:r>
            <w:r>
              <w:rPr>
                <w:rFonts w:hint="eastAsia" w:ascii="宋体" w:hAnsi="宋体" w:eastAsia="宋体" w:cs="宋体"/>
                <w:i w:val="0"/>
                <w:caps w:val="0"/>
                <w:color w:val="000000"/>
                <w:spacing w:val="0"/>
                <w:sz w:val="21"/>
                <w:szCs w:val="21"/>
                <w:shd w:val="clear" w:color="auto" w:fill="FFFFFF"/>
              </w:rPr>
              <w:t>次</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58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i w:val="0"/>
                <w:caps w:val="0"/>
                <w:color w:val="000000"/>
                <w:spacing w:val="0"/>
                <w:sz w:val="21"/>
                <w:szCs w:val="21"/>
                <w:shd w:val="clear" w:color="auto" w:fill="FFFFFF"/>
              </w:rPr>
              <w:t>不发生访情信息迟报、误报、漏报、瞒报的情形</w:t>
            </w:r>
          </w:p>
        </w:tc>
        <w:tc>
          <w:tcPr>
            <w:tcW w:w="8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i w:val="0"/>
                <w:caps w:val="0"/>
                <w:color w:val="000000"/>
                <w:spacing w:val="0"/>
                <w:sz w:val="21"/>
                <w:szCs w:val="21"/>
                <w:shd w:val="clear" w:color="auto" w:fill="FFFFFF"/>
              </w:rPr>
              <w:t>0起</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i w:val="0"/>
                <w:caps w:val="0"/>
                <w:color w:val="000000"/>
                <w:spacing w:val="0"/>
                <w:sz w:val="21"/>
                <w:szCs w:val="21"/>
                <w:shd w:val="clear" w:color="auto" w:fill="FFFFFF"/>
              </w:rPr>
              <w:t>0起</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58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i w:val="0"/>
                <w:caps w:val="0"/>
                <w:color w:val="000000"/>
                <w:spacing w:val="0"/>
                <w:sz w:val="21"/>
                <w:szCs w:val="21"/>
                <w:shd w:val="clear" w:color="auto" w:fill="FFFFFF"/>
              </w:rPr>
              <w:t>不发生赴省进京集访，且不服从调度组织接劝返工作的事件</w:t>
            </w:r>
          </w:p>
        </w:tc>
        <w:tc>
          <w:tcPr>
            <w:tcW w:w="8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i w:val="0"/>
                <w:caps w:val="0"/>
                <w:color w:val="000000"/>
                <w:spacing w:val="0"/>
                <w:sz w:val="21"/>
                <w:szCs w:val="21"/>
                <w:shd w:val="clear" w:color="auto" w:fill="FFFFFF"/>
              </w:rPr>
              <w:t>0起</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i w:val="0"/>
                <w:caps w:val="0"/>
                <w:color w:val="000000"/>
                <w:spacing w:val="0"/>
                <w:sz w:val="21"/>
                <w:szCs w:val="21"/>
                <w:shd w:val="clear" w:color="auto" w:fill="FFFFFF"/>
              </w:rPr>
              <w:t>0起</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58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i w:val="0"/>
                <w:caps w:val="0"/>
                <w:color w:val="000000"/>
                <w:spacing w:val="0"/>
                <w:sz w:val="21"/>
                <w:szCs w:val="21"/>
                <w:shd w:val="clear" w:color="auto" w:fill="FFFFFF"/>
              </w:rPr>
              <w:t>不发生重特大群体性事件</w:t>
            </w:r>
          </w:p>
        </w:tc>
        <w:tc>
          <w:tcPr>
            <w:tcW w:w="8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i w:val="0"/>
                <w:caps w:val="0"/>
                <w:color w:val="000000"/>
                <w:spacing w:val="0"/>
                <w:sz w:val="21"/>
                <w:szCs w:val="21"/>
                <w:shd w:val="clear" w:color="auto" w:fill="FFFFFF"/>
              </w:rPr>
              <w:t>0起</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i w:val="0"/>
                <w:caps w:val="0"/>
                <w:color w:val="000000"/>
                <w:spacing w:val="0"/>
                <w:sz w:val="21"/>
                <w:szCs w:val="21"/>
                <w:shd w:val="clear" w:color="auto" w:fill="FFFFFF"/>
              </w:rPr>
              <w:t>0起</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58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i w:val="0"/>
                <w:caps w:val="0"/>
                <w:color w:val="000000"/>
                <w:spacing w:val="0"/>
                <w:sz w:val="21"/>
                <w:szCs w:val="21"/>
                <w:shd w:val="clear" w:color="auto" w:fill="FFFFFF"/>
              </w:rPr>
              <w:t>不发生非访、滋事和负面舆情</w:t>
            </w:r>
          </w:p>
        </w:tc>
        <w:tc>
          <w:tcPr>
            <w:tcW w:w="8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i w:val="0"/>
                <w:caps w:val="0"/>
                <w:color w:val="000000"/>
                <w:spacing w:val="0"/>
                <w:sz w:val="21"/>
                <w:szCs w:val="21"/>
                <w:shd w:val="clear" w:color="auto" w:fill="FFFFFF"/>
              </w:rPr>
              <w:t>0起</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i w:val="0"/>
                <w:caps w:val="0"/>
                <w:color w:val="000000"/>
                <w:spacing w:val="0"/>
                <w:sz w:val="21"/>
                <w:szCs w:val="21"/>
                <w:shd w:val="clear" w:color="auto" w:fill="FFFFFF"/>
              </w:rPr>
              <w:t>0起</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58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i w:val="0"/>
                <w:caps w:val="0"/>
                <w:color w:val="000000"/>
                <w:spacing w:val="0"/>
                <w:sz w:val="21"/>
                <w:szCs w:val="21"/>
                <w:shd w:val="clear" w:color="auto" w:fill="FFFFFF"/>
                <w:lang w:eastAsia="zh-CN"/>
              </w:rPr>
              <w:t>目标群体满意度</w:t>
            </w:r>
          </w:p>
        </w:tc>
        <w:tc>
          <w:tcPr>
            <w:tcW w:w="87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eastAsia" w:ascii="Times New Roman" w:hAnsi="Times New Roman" w:eastAsia="仿宋_GB2312" w:cstheme="minorBidi"/>
                <w:color w:val="000000"/>
                <w:kern w:val="0"/>
                <w:sz w:val="21"/>
                <w:szCs w:val="24"/>
                <w:lang w:val="en-US" w:eastAsia="zh-CN" w:bidi="ar-SA"/>
              </w:rPr>
            </w:pPr>
            <w:r>
              <w:rPr>
                <w:rFonts w:hint="eastAsia" w:eastAsia="仿宋_GB2312"/>
                <w:color w:val="000000"/>
                <w:kern w:val="0"/>
                <w:lang w:val="en-US" w:eastAsia="zh-CN"/>
              </w:rPr>
              <w:t>100%</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eastAsia" w:ascii="Times New Roman" w:hAnsi="Times New Roman" w:eastAsia="仿宋_GB2312" w:cstheme="minorBidi"/>
                <w:color w:val="000000"/>
                <w:kern w:val="0"/>
                <w:sz w:val="21"/>
                <w:szCs w:val="24"/>
                <w:lang w:val="en-US" w:eastAsia="zh-CN" w:bidi="ar-SA"/>
              </w:rPr>
            </w:pPr>
            <w:r>
              <w:rPr>
                <w:rFonts w:hint="eastAsia" w:eastAsia="仿宋_GB2312"/>
                <w:color w:val="000000"/>
                <w:kern w:val="0"/>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eastAsia" w:ascii="Times New Roman" w:hAnsi="Times New Roman" w:eastAsia="仿宋_GB2312" w:cstheme="minorBidi"/>
                <w:color w:val="000000"/>
                <w:kern w:val="0"/>
                <w:sz w:val="21"/>
                <w:szCs w:val="24"/>
                <w:lang w:val="en-US" w:eastAsia="zh-CN" w:bidi="ar-SA"/>
              </w:rPr>
            </w:pPr>
            <w:r>
              <w:rPr>
                <w:rFonts w:hint="eastAsia" w:eastAsia="仿宋_GB2312"/>
                <w:color w:val="000000"/>
                <w:kern w:val="0"/>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eastAsia" w:ascii="Times New Roman" w:hAnsi="Times New Roman" w:eastAsia="仿宋_GB2312" w:cstheme="minorBidi"/>
                <w:color w:val="000000"/>
                <w:kern w:val="0"/>
                <w:sz w:val="21"/>
                <w:szCs w:val="24"/>
                <w:lang w:val="en-US" w:eastAsia="zh-CN" w:bidi="ar-SA"/>
              </w:rPr>
            </w:pPr>
            <w:r>
              <w:rPr>
                <w:rFonts w:hint="eastAsia" w:eastAsia="仿宋_GB2312"/>
                <w:color w:val="000000"/>
                <w:kern w:val="0"/>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93.9</w:t>
            </w:r>
          </w:p>
        </w:tc>
        <w:tc>
          <w:tcPr>
            <w:tcW w:w="1443"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eastAsia="仿宋_GB2312"/>
          <w:sz w:val="22"/>
          <w:szCs w:val="24"/>
        </w:rPr>
        <w:t xml:space="preserve">填表人：        </w:t>
      </w:r>
      <w:r>
        <w:rPr>
          <w:rFonts w:hint="default" w:eastAsia="仿宋_GB2312"/>
          <w:sz w:val="22"/>
          <w:szCs w:val="24"/>
        </w:rPr>
        <w:t xml:space="preserve"> </w:t>
      </w:r>
      <w:r>
        <w:rPr>
          <w:rFonts w:hint="eastAsia" w:eastAsia="仿宋_GB2312"/>
          <w:sz w:val="22"/>
          <w:szCs w:val="24"/>
        </w:rPr>
        <w:t xml:space="preserve">填报日期：       </w:t>
      </w:r>
      <w:r>
        <w:rPr>
          <w:rFonts w:hint="default" w:eastAsia="仿宋_GB2312"/>
          <w:sz w:val="22"/>
          <w:szCs w:val="24"/>
        </w:rPr>
        <w:t xml:space="preserve">   </w:t>
      </w:r>
      <w:r>
        <w:rPr>
          <w:rFonts w:hint="eastAsia" w:eastAsia="仿宋_GB2312"/>
          <w:sz w:val="22"/>
          <w:szCs w:val="24"/>
        </w:rPr>
        <w:t>联系电话：        单位负责人签字：</w:t>
      </w:r>
      <w:r>
        <w:rPr>
          <w:rFonts w:hint="default" w:eastAsia="仿宋_GB2312"/>
          <w:sz w:val="22"/>
          <w:szCs w:val="24"/>
        </w:rPr>
        <w:br w:type="page"/>
      </w: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ascii="仿宋_GB2312" w:hAnsi="仿宋_GB2312"/>
                <w:color w:val="000000"/>
                <w:kern w:val="0"/>
              </w:rPr>
              <w:t>　</w:t>
            </w:r>
            <w:r>
              <w:rPr>
                <w:rFonts w:hint="eastAsia" w:ascii="仿宋_GB2312" w:hAnsi="仿宋_GB2312"/>
                <w:color w:val="000000"/>
                <w:kern w:val="0"/>
                <w:lang w:eastAsia="zh-CN"/>
              </w:rPr>
              <w:t>信访专项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仿宋_GB2312" w:hAnsi="仿宋_GB2312"/>
                <w:color w:val="000000"/>
                <w:kern w:val="0"/>
                <w:lang w:val="en-US" w:eastAsia="zh-CN"/>
              </w:rPr>
              <w:t>264.40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eastAsia="zh-CN"/>
              </w:rPr>
              <w:t>双牌县人民政府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宋体" w:hAnsi="宋体" w:eastAsia="宋体" w:cs="宋体"/>
                <w:sz w:val="24"/>
                <w:szCs w:val="24"/>
                <w:lang w:val="en-US" w:eastAsia="zh-CN"/>
              </w:rPr>
              <w:t>全力做好信访、维稳、联席、调纠各项工作，协助处理跨地区、跨部门的重要信访、群体集体进京、赴省上访和突发上访事项。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一是业务工作经费主要是为保障信访业务工作开展设立的专项经费，包括 “浦江经验”办公经费、全国两会信访维稳经费、日常应急处置费、省市两会信访维稳经费、 信访工作“三无”县区创建工作经费、驻长信访值班经费、驻京维稳劝返办工作经费等共计163.02万元。</w:t>
            </w:r>
          </w:p>
          <w:p>
            <w:pPr>
              <w:spacing w:beforeLines="0" w:afterLines="0"/>
              <w:jc w:val="left"/>
              <w:rPr>
                <w:rFonts w:hint="eastAsia" w:asciiTheme="minorEastAsia" w:hAnsiTheme="minorEastAsia" w:eastAsiaTheme="minorEastAsia" w:cstheme="minorEastAsia"/>
                <w:sz w:val="24"/>
                <w:szCs w:val="24"/>
              </w:rPr>
            </w:pPr>
            <w:r>
              <w:rPr>
                <w:rFonts w:hint="eastAsia" w:ascii="宋体" w:hAnsi="宋体" w:eastAsia="宋体" w:cs="宋体"/>
                <w:b w:val="0"/>
                <w:bCs w:val="0"/>
                <w:kern w:val="2"/>
                <w:sz w:val="24"/>
                <w:szCs w:val="24"/>
                <w:lang w:val="en-US" w:eastAsia="zh-CN" w:bidi="ar-SA"/>
              </w:rPr>
              <w:t>二是信访疑难问题救助资金经费36.4万元，残疾人保障金缴费及工伤保险、失业保险单位部分缴费1.7万元。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768"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宋体" w:hAnsi="宋体" w:eastAsia="宋体" w:cs="宋体"/>
                <w:sz w:val="24"/>
                <w:szCs w:val="24"/>
                <w:lang w:val="en-US" w:eastAsia="zh-CN"/>
              </w:rPr>
              <w:t>2023年来，在县委、县政府的正确领导和市信访局的精心指导下，深入学习贯彻习近平总书记关于加强和改进人民信访工作的重要思想，以“示范县”创建为目标，实现了全国、省市两会等特防期信访维稳工作“六个零、三个不发生”目标，全县信访形势平稳可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rPr>
            </w:pPr>
            <w:r>
              <w:rPr>
                <w:rFonts w:hint="eastAsia" w:ascii="宋体" w:hAnsi="宋体" w:eastAsia="宋体" w:cs="宋体"/>
                <w:sz w:val="24"/>
                <w:szCs w:val="24"/>
                <w:lang w:val="en-US" w:eastAsia="zh-CN"/>
              </w:rPr>
              <w:t>预算精细化水平还有待提升，特别是进一步提高人员经费预算编制科学化、精细化程度。存在部分项目决算支出与预算支出有差距。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宋体" w:hAnsi="宋体" w:eastAsia="宋体" w:cs="宋体"/>
                <w:kern w:val="2"/>
                <w:sz w:val="24"/>
                <w:szCs w:val="24"/>
                <w:lang w:val="en-US" w:eastAsia="zh-CN" w:bidi="ar-SA"/>
              </w:rPr>
              <w:t>进一步健全和完善财务管理制度及内部控制制度，创新管理手段，用新思路、新方法，改进完善财务管理方法。按照财政支出绩效管理的要求，建立科学的财政资金效益考评制度体系，不断提高财政资金使用管理的水平和效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       填报日期：         联系电话：         单位负责人签字：</w:t>
      </w: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年度项目支出绩效自评表</w:t>
      </w:r>
    </w:p>
    <w:tbl>
      <w:tblPr>
        <w:tblStyle w:val="7"/>
        <w:tblW w:w="945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851"/>
        <w:gridCol w:w="1464"/>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仿宋_GB2312" w:hAnsi="仿宋_GB2312"/>
                <w:color w:val="000000"/>
                <w:kern w:val="0"/>
                <w:lang w:eastAsia="zh-CN"/>
              </w:rPr>
              <w:t>信访专项</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宋体" w:hAnsi="宋体" w:eastAsia="宋体" w:cs="宋体"/>
                <w:kern w:val="0"/>
                <w:sz w:val="21"/>
                <w:szCs w:val="21"/>
                <w:lang w:val="en-US" w:eastAsia="zh-CN"/>
              </w:rPr>
              <w:t>双牌县信访事务中心</w:t>
            </w:r>
            <w:r>
              <w:rPr>
                <w:rFonts w:ascii="仿宋_GB2312" w:hAnsi="仿宋_GB2312"/>
                <w:kern w:val="0"/>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宋体" w:hAnsi="宋体" w:eastAsia="宋体" w:cs="宋体"/>
                <w:kern w:val="0"/>
                <w:sz w:val="21"/>
                <w:szCs w:val="21"/>
                <w:lang w:val="en-US" w:eastAsia="zh-CN"/>
              </w:rPr>
              <w:t>双牌县信访事务中心</w:t>
            </w:r>
            <w:r>
              <w:rPr>
                <w:rFonts w:ascii="仿宋_GB2312" w:hAnsi="仿宋_GB2312"/>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93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93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4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仿宋_GB2312" w:hAnsi="仿宋_GB2312"/>
                <w:color w:val="000000"/>
                <w:kern w:val="0"/>
                <w:lang w:val="en-US" w:eastAsia="zh-CN"/>
              </w:rPr>
              <w:t>264.40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color w:val="000000"/>
                <w:kern w:val="0"/>
                <w:lang w:val="en-US" w:eastAsia="zh-CN"/>
              </w:rPr>
            </w:pPr>
            <w:r>
              <w:rPr>
                <w:rFonts w:hint="eastAsia" w:ascii="仿宋_GB2312" w:hAnsi="仿宋_GB2312"/>
                <w:color w:val="000000"/>
                <w:kern w:val="0"/>
                <w:lang w:val="en-US" w:eastAsia="zh-CN"/>
              </w:rPr>
              <w:t>223.42</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color w:val="000000"/>
                <w:kern w:val="0"/>
                <w:lang w:val="en-US" w:eastAsia="zh-CN"/>
              </w:rPr>
            </w:pPr>
            <w:r>
              <w:rPr>
                <w:rFonts w:hint="eastAsia" w:ascii="仿宋_GB2312" w:hAnsi="仿宋_GB2312"/>
                <w:color w:val="000000"/>
                <w:kern w:val="0"/>
                <w:lang w:val="en-US" w:eastAsia="zh-CN"/>
              </w:rPr>
              <w:t>223.42</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仿宋_GB2312" w:hAnsi="仿宋_GB2312"/>
                <w:color w:val="000000"/>
                <w:kern w:val="0"/>
                <w:lang w:val="en-US" w:eastAsia="zh-CN"/>
              </w:rPr>
              <w:t>84.48</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93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4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仿宋_GB2312" w:hAnsi="仿宋_GB2312"/>
                <w:color w:val="000000"/>
                <w:kern w:val="0"/>
                <w:lang w:val="en-US" w:eastAsia="zh-CN"/>
              </w:rPr>
              <w:t>264.40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93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4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93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4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仿宋_GB2312" w:hAnsi="仿宋_GB2312"/>
                <w:kern w:val="0"/>
                <w:lang w:val="en-US" w:eastAsia="zh-CN"/>
              </w:rPr>
              <w:t>争创全省信访工作示范县区</w:t>
            </w:r>
            <w:r>
              <w:rPr>
                <w:rFonts w:hint="eastAsia" w:asciiTheme="minorEastAsia" w:hAnsiTheme="minorEastAsia" w:eastAsiaTheme="minorEastAsia" w:cstheme="minorEastAsia"/>
                <w:color w:val="000000"/>
                <w:sz w:val="24"/>
                <w:szCs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未完成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4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4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信访维稳经费及日常应急处置费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264.40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223.42</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18</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851"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46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i w:val="0"/>
                <w:caps w:val="0"/>
                <w:color w:val="000000"/>
                <w:spacing w:val="0"/>
                <w:kern w:val="2"/>
                <w:sz w:val="21"/>
                <w:szCs w:val="21"/>
                <w:shd w:val="clear" w:color="auto" w:fill="FFFFFF"/>
                <w:lang w:val="en-US" w:eastAsia="zh-CN" w:bidi="ar-SA"/>
              </w:rPr>
            </w:pPr>
            <w:r>
              <w:rPr>
                <w:rFonts w:hint="eastAsia" w:ascii="宋体" w:hAnsi="宋体" w:eastAsia="宋体" w:cs="宋体"/>
                <w:i w:val="0"/>
                <w:caps w:val="0"/>
                <w:color w:val="000000"/>
                <w:spacing w:val="0"/>
                <w:sz w:val="21"/>
                <w:szCs w:val="21"/>
                <w:shd w:val="clear" w:color="auto" w:fill="FFFFFF"/>
              </w:rPr>
              <w:t>创建信访</w:t>
            </w:r>
            <w:r>
              <w:rPr>
                <w:rFonts w:hint="eastAsia" w:ascii="宋体" w:hAnsi="宋体" w:eastAsia="宋体" w:cs="宋体"/>
                <w:i w:val="0"/>
                <w:caps w:val="0"/>
                <w:color w:val="000000"/>
                <w:spacing w:val="0"/>
                <w:sz w:val="21"/>
                <w:szCs w:val="21"/>
                <w:shd w:val="clear" w:color="auto" w:fill="FFFFFF"/>
                <w:lang w:eastAsia="zh-CN"/>
              </w:rPr>
              <w:t>工作“示范县”</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1次</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　</w:t>
            </w:r>
            <w:r>
              <w:rPr>
                <w:rFonts w:hint="eastAsia" w:ascii="宋体" w:hAnsi="宋体" w:eastAsia="宋体" w:cs="宋体"/>
                <w:kern w:val="0"/>
                <w:sz w:val="21"/>
                <w:szCs w:val="21"/>
                <w:lang w:val="en-US" w:eastAsia="zh-CN"/>
              </w:rPr>
              <w:t>1次</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85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46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i w:val="0"/>
                <w:caps w:val="0"/>
                <w:color w:val="000000"/>
                <w:spacing w:val="0"/>
                <w:kern w:val="2"/>
                <w:sz w:val="21"/>
                <w:szCs w:val="21"/>
                <w:shd w:val="clear" w:color="auto" w:fill="FFFFFF"/>
                <w:lang w:val="en-US" w:eastAsia="zh-CN" w:bidi="ar-SA"/>
              </w:rPr>
            </w:pPr>
            <w:r>
              <w:rPr>
                <w:rFonts w:hint="eastAsia" w:ascii="宋体" w:hAnsi="宋体" w:eastAsia="宋体" w:cs="宋体"/>
                <w:i w:val="0"/>
                <w:caps w:val="0"/>
                <w:color w:val="000000"/>
                <w:spacing w:val="0"/>
                <w:sz w:val="21"/>
                <w:szCs w:val="21"/>
                <w:shd w:val="clear" w:color="auto" w:fill="FFFFFF"/>
              </w:rPr>
              <w:t>开展矛盾纠纷摸排行动</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4次</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val="en-US" w:eastAsia="zh-CN"/>
              </w:rPr>
              <w:t>12</w:t>
            </w:r>
            <w:r>
              <w:rPr>
                <w:rFonts w:hint="eastAsia" w:ascii="宋体" w:hAnsi="宋体" w:eastAsia="宋体" w:cs="宋体"/>
                <w:kern w:val="0"/>
                <w:sz w:val="21"/>
                <w:szCs w:val="21"/>
                <w:lang w:val="en-US" w:eastAsia="zh-CN"/>
              </w:rPr>
              <w:t>次</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851"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46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kern w:val="0"/>
                <w:sz w:val="21"/>
                <w:szCs w:val="21"/>
                <w:lang w:val="en-US" w:eastAsia="zh-CN" w:bidi="ar-SA"/>
              </w:rPr>
            </w:pPr>
            <w:r>
              <w:rPr>
                <w:rFonts w:hint="eastAsia" w:ascii="宋体" w:hAnsi="宋体" w:eastAsia="宋体" w:cs="宋体"/>
                <w:i w:val="0"/>
                <w:caps w:val="0"/>
                <w:color w:val="000000"/>
                <w:spacing w:val="0"/>
                <w:sz w:val="21"/>
                <w:szCs w:val="21"/>
                <w:shd w:val="clear" w:color="auto" w:fill="FFFFFF"/>
              </w:rPr>
              <w:t>对来访、来信、网上投诉按时、规范办理</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kern w:val="0"/>
                <w:sz w:val="21"/>
                <w:szCs w:val="21"/>
                <w:lang w:val="en-US" w:eastAsia="zh-CN" w:bidi="ar-SA"/>
              </w:rPr>
            </w:pPr>
            <w:r>
              <w:rPr>
                <w:rFonts w:hint="eastAsia" w:ascii="宋体" w:hAnsi="宋体" w:eastAsia="宋体" w:cs="宋体"/>
                <w:i w:val="0"/>
                <w:caps w:val="0"/>
                <w:color w:val="000000"/>
                <w:spacing w:val="0"/>
                <w:sz w:val="21"/>
                <w:szCs w:val="21"/>
                <w:shd w:val="clear" w:color="auto" w:fill="FFFFFF"/>
              </w:rPr>
              <w:t>99%</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　</w:t>
            </w:r>
            <w:r>
              <w:rPr>
                <w:rFonts w:hint="eastAsia" w:ascii="仿宋_GB2312" w:hAnsi="仿宋_GB2312"/>
                <w:color w:val="000000"/>
                <w:kern w:val="0"/>
                <w:sz w:val="21"/>
                <w:szCs w:val="21"/>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85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46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kern w:val="0"/>
                <w:sz w:val="21"/>
                <w:szCs w:val="21"/>
                <w:lang w:val="en-US" w:eastAsia="zh-CN" w:bidi="ar-SA"/>
              </w:rPr>
            </w:pPr>
            <w:r>
              <w:rPr>
                <w:rFonts w:hint="eastAsia" w:ascii="宋体" w:hAnsi="宋体" w:eastAsia="宋体" w:cs="宋体"/>
                <w:i w:val="0"/>
                <w:caps w:val="0"/>
                <w:color w:val="000000"/>
                <w:spacing w:val="0"/>
                <w:sz w:val="21"/>
                <w:szCs w:val="21"/>
                <w:shd w:val="clear" w:color="auto" w:fill="FFFFFF"/>
              </w:rPr>
              <w:t>信访基础业务满意度评价参评率标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kern w:val="0"/>
                <w:sz w:val="21"/>
                <w:szCs w:val="21"/>
                <w:lang w:val="en-US" w:eastAsia="zh-CN" w:bidi="ar-SA"/>
              </w:rPr>
            </w:pPr>
            <w:r>
              <w:rPr>
                <w:rFonts w:hint="eastAsia" w:ascii="宋体" w:hAnsi="宋体" w:eastAsia="宋体" w:cs="宋体"/>
                <w:i w:val="0"/>
                <w:caps w:val="0"/>
                <w:color w:val="000000"/>
                <w:spacing w:val="0"/>
                <w:sz w:val="21"/>
                <w:szCs w:val="21"/>
                <w:shd w:val="clear" w:color="auto" w:fill="FFFFFF"/>
              </w:rPr>
              <w:t>70%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　</w:t>
            </w:r>
            <w:r>
              <w:rPr>
                <w:rFonts w:hint="eastAsia" w:ascii="宋体" w:hAnsi="宋体" w:eastAsia="宋体" w:cs="宋体"/>
                <w:i w:val="0"/>
                <w:caps w:val="0"/>
                <w:color w:val="000000"/>
                <w:spacing w:val="0"/>
                <w:sz w:val="21"/>
                <w:szCs w:val="21"/>
                <w:shd w:val="clear" w:color="auto" w:fill="FFFFFF"/>
                <w:lang w:val="en-US" w:eastAsia="zh-CN"/>
              </w:rPr>
              <w:t>9</w:t>
            </w:r>
            <w:r>
              <w:rPr>
                <w:rFonts w:hint="eastAsia" w:ascii="宋体" w:hAnsi="宋体" w:eastAsia="宋体" w:cs="宋体"/>
                <w:i w:val="0"/>
                <w:caps w:val="0"/>
                <w:color w:val="000000"/>
                <w:spacing w:val="0"/>
                <w:sz w:val="21"/>
                <w:szCs w:val="21"/>
                <w:shd w:val="clear" w:color="auto" w:fill="FFFFFF"/>
              </w:rPr>
              <w:t>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851"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46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Theme="minorEastAsia" w:hAnsiTheme="minorEastAsia" w:eastAsiaTheme="minorEastAsia" w:cstheme="minorEastAsia"/>
                <w:color w:val="000000"/>
                <w:sz w:val="24"/>
                <w:szCs w:val="24"/>
              </w:rPr>
            </w:pPr>
            <w:r>
              <w:rPr>
                <w:rFonts w:hint="eastAsia" w:ascii="仿宋_GB2312" w:hAnsi="仿宋_GB2312"/>
                <w:kern w:val="0"/>
                <w:sz w:val="21"/>
                <w:szCs w:val="21"/>
                <w:lang w:val="en-US" w:eastAsia="zh-CN"/>
              </w:rPr>
              <w:t>投入资金到位率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sz w:val="24"/>
                <w:szCs w:val="24"/>
              </w:rPr>
            </w:pPr>
            <w:r>
              <w:rPr>
                <w:rFonts w:hint="eastAsia" w:ascii="仿宋_GB2312" w:hAnsi="仿宋_GB2312"/>
                <w:color w:val="000000"/>
                <w:kern w:val="0"/>
                <w:sz w:val="21"/>
                <w:szCs w:val="21"/>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sz w:val="24"/>
                <w:szCs w:val="24"/>
              </w:rPr>
            </w:pPr>
            <w:r>
              <w:rPr>
                <w:rFonts w:hint="eastAsia" w:ascii="仿宋_GB2312" w:hAnsi="仿宋_GB2312"/>
                <w:color w:val="000000"/>
                <w:kern w:val="0"/>
                <w:sz w:val="21"/>
                <w:szCs w:val="21"/>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1"/>
                <w:szCs w:val="21"/>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1"/>
                <w:szCs w:val="21"/>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5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85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46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Theme="minorEastAsia" w:hAnsiTheme="minorEastAsia" w:eastAsiaTheme="minorEastAsia" w:cstheme="minorEastAsia"/>
                <w:color w:val="000000"/>
                <w:sz w:val="24"/>
                <w:szCs w:val="24"/>
              </w:rPr>
            </w:pPr>
            <w:r>
              <w:rPr>
                <w:rFonts w:hint="eastAsia" w:ascii="仿宋_GB2312" w:hAnsi="仿宋_GB2312"/>
                <w:kern w:val="0"/>
                <w:sz w:val="21"/>
                <w:szCs w:val="21"/>
                <w:lang w:val="en-US" w:eastAsia="zh-CN"/>
              </w:rPr>
              <w:t>资金到位及时率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sz w:val="24"/>
                <w:szCs w:val="24"/>
              </w:rPr>
            </w:pPr>
            <w:r>
              <w:rPr>
                <w:rFonts w:hint="eastAsia" w:ascii="仿宋_GB2312" w:hAnsi="仿宋_GB2312"/>
                <w:color w:val="000000"/>
                <w:kern w:val="0"/>
                <w:sz w:val="21"/>
                <w:szCs w:val="21"/>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sz w:val="24"/>
                <w:szCs w:val="24"/>
              </w:rPr>
            </w:pPr>
            <w:r>
              <w:rPr>
                <w:rFonts w:hint="eastAsia" w:ascii="仿宋_GB2312" w:hAnsi="仿宋_GB2312"/>
                <w:color w:val="000000"/>
                <w:kern w:val="0"/>
                <w:sz w:val="21"/>
                <w:szCs w:val="21"/>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1"/>
                <w:szCs w:val="21"/>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1"/>
                <w:szCs w:val="21"/>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4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宋体" w:hAnsi="宋体" w:eastAsia="宋体" w:cs="宋体"/>
                <w:i w:val="0"/>
                <w:caps w:val="0"/>
                <w:color w:val="000000"/>
                <w:spacing w:val="0"/>
                <w:sz w:val="21"/>
                <w:szCs w:val="21"/>
                <w:shd w:val="clear" w:color="auto" w:fill="FFFFFF"/>
              </w:rPr>
              <w:t>加强源头化解，提高信访积案化解率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1"/>
                <w:szCs w:val="21"/>
                <w:lang w:val="en-US" w:eastAsia="zh-CN"/>
              </w:rPr>
              <w:t>60</w:t>
            </w:r>
            <w:r>
              <w:rPr>
                <w:rFonts w:hint="eastAsia" w:ascii="宋体" w:hAnsi="宋体" w:eastAsia="宋体" w:cs="宋体"/>
                <w:kern w:val="0"/>
                <w:sz w:val="21"/>
                <w:szCs w:val="21"/>
                <w:lang w:val="en-US"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1"/>
                <w:szCs w:val="21"/>
                <w:lang w:val="en-US" w:eastAsia="zh-CN"/>
              </w:rPr>
              <w:t>90</w:t>
            </w:r>
            <w:r>
              <w:rPr>
                <w:rFonts w:hint="eastAsia" w:ascii="宋体" w:hAnsi="宋体" w:eastAsia="宋体" w:cs="宋体"/>
                <w:kern w:val="0"/>
                <w:sz w:val="21"/>
                <w:szCs w:val="21"/>
                <w:lang w:val="en-US" w:eastAsia="zh-CN"/>
              </w:rPr>
              <w:t>%</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1"/>
                <w:szCs w:val="21"/>
                <w:lang w:val="en-US" w:eastAsia="zh-CN"/>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val="en-US" w:eastAsia="zh-CN"/>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4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宋体" w:hAnsi="宋体" w:eastAsia="宋体" w:cs="宋体"/>
                <w:i w:val="0"/>
                <w:caps w:val="0"/>
                <w:color w:val="000000"/>
                <w:spacing w:val="0"/>
                <w:sz w:val="21"/>
                <w:szCs w:val="21"/>
                <w:shd w:val="clear" w:color="auto" w:fill="FFFFFF"/>
              </w:rPr>
              <w:t>人民群众对各项信访工作的满意程度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　</w:t>
            </w:r>
            <w:r>
              <w:rPr>
                <w:rFonts w:hint="eastAsia" w:ascii="宋体" w:hAnsi="宋体" w:eastAsia="宋体" w:cs="宋体"/>
                <w:kern w:val="0"/>
                <w:sz w:val="21"/>
                <w:szCs w:val="21"/>
                <w:lang w:val="en-US" w:eastAsia="zh-CN"/>
              </w:rPr>
              <w:t>95%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　</w:t>
            </w:r>
            <w:r>
              <w:rPr>
                <w:rFonts w:hint="eastAsia" w:ascii="宋体" w:hAnsi="宋体" w:eastAsia="宋体" w:cs="宋体"/>
                <w:kern w:val="0"/>
                <w:sz w:val="21"/>
                <w:szCs w:val="21"/>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4"/>
          <w:szCs w:val="24"/>
        </w:rPr>
      </w:pPr>
    </w:p>
    <w:p>
      <w:pPr>
        <w:spacing w:beforeLines="0" w:afterLines="0"/>
        <w:jc w:val="left"/>
        <w:rPr>
          <w:rFonts w:hint="default" w:eastAsia="仿宋_GB2312"/>
          <w:sz w:val="22"/>
          <w:szCs w:val="24"/>
        </w:rPr>
        <w:sectPr>
          <w:footerReference r:id="rId3" w:type="default"/>
          <w:footerReference r:id="rId4"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填表人：       填报日期：         联系电话：         单位负责人签字：</w:t>
      </w:r>
    </w:p>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宋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T1YvbCAQAAcAMAAA4AAAAAAAAAAQAgAAAAHgEAAGRycy9lMm9Eb2MueG1sUEsF&#10;BgAAAAAGAAYAWQEAAFIFAAAAAA==&#10;">
              <v:fill on="f" focussize="0,0"/>
              <v:stroke on="f"/>
              <v:imagedata o:title=""/>
              <o:lock v:ext="edit" aspectratio="f"/>
              <v:textbox inset="0mm,0mm,0mm,0mm" style="mso-fit-shape-to-text:t;">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gUL1bCAQAAcAMAAA4AAAAAAAAAAQAgAAAAHgEAAGRycy9lMm9Eb2MueG1sUEsF&#10;BgAAAAAGAAYAWQEAAFIFAAAAAA==&#10;">
              <v:fill on="f" focussize="0,0"/>
              <v:stroke on="f"/>
              <v:imagedata o:title=""/>
              <o:lock v:ext="edit" aspectratio="f"/>
              <v:textbox inset="0mm,0mm,0mm,0mm" style="mso-fit-shape-to-text:t;">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C23E9E"/>
    <w:multiLevelType w:val="singleLevel"/>
    <w:tmpl w:val="81C23E9E"/>
    <w:lvl w:ilvl="0" w:tentative="0">
      <w:start w:val="1"/>
      <w:numFmt w:val="chineseCounting"/>
      <w:suff w:val="nothing"/>
      <w:lvlText w:val="（%1）"/>
      <w:lvlJc w:val="left"/>
      <w:pPr>
        <w:ind w:left="-220"/>
      </w:pPr>
      <w:rPr>
        <w:rFonts w:hint="eastAsia"/>
        <w:b/>
        <w:bCs/>
      </w:rPr>
    </w:lvl>
  </w:abstractNum>
  <w:abstractNum w:abstractNumId="1">
    <w:nsid w:val="A31C3622"/>
    <w:multiLevelType w:val="singleLevel"/>
    <w:tmpl w:val="A31C3622"/>
    <w:lvl w:ilvl="0" w:tentative="0">
      <w:start w:val="4"/>
      <w:numFmt w:val="chineseCounting"/>
      <w:suff w:val="nothing"/>
      <w:lvlText w:val="%1、"/>
      <w:lvlJc w:val="left"/>
      <w:rPr>
        <w:rFonts w:hint="eastAsia"/>
      </w:rPr>
    </w:lvl>
  </w:abstractNum>
  <w:abstractNum w:abstractNumId="2">
    <w:nsid w:val="FAAC3484"/>
    <w:multiLevelType w:val="singleLevel"/>
    <w:tmpl w:val="FAAC3484"/>
    <w:lvl w:ilvl="0" w:tentative="0">
      <w:start w:val="1"/>
      <w:numFmt w:val="decimal"/>
      <w:suff w:val="nothing"/>
      <w:lvlText w:val="%1、"/>
      <w:lvlJc w:val="left"/>
    </w:lvl>
  </w:abstractNum>
  <w:abstractNum w:abstractNumId="3">
    <w:nsid w:val="2A8A4F68"/>
    <w:multiLevelType w:val="singleLevel"/>
    <w:tmpl w:val="2A8A4F68"/>
    <w:lvl w:ilvl="0" w:tentative="0">
      <w:start w:val="8"/>
      <w:numFmt w:val="chineseCounting"/>
      <w:suff w:val="nothing"/>
      <w:lvlText w:val="%1、"/>
      <w:lvlJc w:val="left"/>
      <w:rPr>
        <w:rFonts w:hint="eastAsia"/>
      </w:rPr>
    </w:lvl>
  </w:abstractNum>
  <w:abstractNum w:abstractNumId="4">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YjhmZDNhZjc5MTEwMTBmNDNmNzE4MDQ3YWI0ZTEifQ=="/>
  </w:docVars>
  <w:rsids>
    <w:rsidRoot w:val="00172A27"/>
    <w:rsid w:val="0CCE5073"/>
    <w:rsid w:val="101F3C57"/>
    <w:rsid w:val="105E064F"/>
    <w:rsid w:val="154B3473"/>
    <w:rsid w:val="15B02F86"/>
    <w:rsid w:val="1BCE59A7"/>
    <w:rsid w:val="1D5E5630"/>
    <w:rsid w:val="1F9C1D8C"/>
    <w:rsid w:val="20BA3D5C"/>
    <w:rsid w:val="20FE29CD"/>
    <w:rsid w:val="213827F6"/>
    <w:rsid w:val="24756501"/>
    <w:rsid w:val="25CE27DE"/>
    <w:rsid w:val="2AF82401"/>
    <w:rsid w:val="30CF479C"/>
    <w:rsid w:val="31EF3498"/>
    <w:rsid w:val="33457B5A"/>
    <w:rsid w:val="33EA0D37"/>
    <w:rsid w:val="3AB43A56"/>
    <w:rsid w:val="3DFB432B"/>
    <w:rsid w:val="3E8F6103"/>
    <w:rsid w:val="41A60F90"/>
    <w:rsid w:val="437042B4"/>
    <w:rsid w:val="43BA1115"/>
    <w:rsid w:val="43D25C86"/>
    <w:rsid w:val="47FF7E2A"/>
    <w:rsid w:val="4A7E5437"/>
    <w:rsid w:val="4AA122B1"/>
    <w:rsid w:val="4B490F32"/>
    <w:rsid w:val="4B564457"/>
    <w:rsid w:val="4C575977"/>
    <w:rsid w:val="4DF30F3A"/>
    <w:rsid w:val="4E8B7C40"/>
    <w:rsid w:val="4F1637A4"/>
    <w:rsid w:val="500F1BD2"/>
    <w:rsid w:val="51C40746"/>
    <w:rsid w:val="543E6CC0"/>
    <w:rsid w:val="55412274"/>
    <w:rsid w:val="5566031A"/>
    <w:rsid w:val="55C03679"/>
    <w:rsid w:val="57C446E9"/>
    <w:rsid w:val="58820FB8"/>
    <w:rsid w:val="5ABA52A9"/>
    <w:rsid w:val="5C8E01AF"/>
    <w:rsid w:val="62BE6D8B"/>
    <w:rsid w:val="64E742EF"/>
    <w:rsid w:val="684B0AD7"/>
    <w:rsid w:val="691F7B6F"/>
    <w:rsid w:val="6E351362"/>
    <w:rsid w:val="6FBC09A5"/>
    <w:rsid w:val="75073918"/>
    <w:rsid w:val="750B0F5F"/>
    <w:rsid w:val="771A18F7"/>
    <w:rsid w:val="7C5E4BD9"/>
    <w:rsid w:val="7E991F23"/>
    <w:rsid w:val="7EB5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left="0" w:firstLine="420" w:firstLineChars="200"/>
    </w:pPr>
  </w:style>
  <w:style w:type="paragraph" w:styleId="3">
    <w:name w:val="Body Text Indent"/>
    <w:basedOn w:val="1"/>
    <w:qFormat/>
    <w:uiPriority w:val="0"/>
    <w:pPr>
      <w:spacing w:after="120"/>
      <w:ind w:left="420" w:leftChars="200"/>
    </w:pPr>
  </w:style>
  <w:style w:type="paragraph" w:styleId="5">
    <w:name w:val="footer"/>
    <w:basedOn w:val="1"/>
    <w:unhideWhenUsed/>
    <w:qFormat/>
    <w:uiPriority w:val="0"/>
    <w:pPr>
      <w:framePr w:wrap="around"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6">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customStyle="1" w:styleId="9">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10">
    <w:name w:val="List Paragraph"/>
    <w:basedOn w:val="1"/>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3785</Words>
  <Characters>3927</Characters>
  <Lines>0</Lines>
  <Paragraphs>0</Paragraphs>
  <TotalTime>3</TotalTime>
  <ScaleCrop>false</ScaleCrop>
  <LinksUpToDate>false</LinksUpToDate>
  <CharactersWithSpaces>4427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Administrator</cp:lastModifiedBy>
  <dcterms:modified xsi:type="dcterms:W3CDTF">2025-09-03T10:06:20Z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C05C0A58C1B94E6DA3F69BCC80938D65_11</vt:lpwstr>
  </property>
</Properties>
</file>