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2023年度双牌县茶林镇人民政府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部门整体支出绩效自评报告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ind w:firstLine="1920" w:firstLineChars="6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>双牌县茶林镇人民政府</w:t>
      </w: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2024年4月8日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outlineLvl w:val="0"/>
        <w:rPr>
          <w:rFonts w:hint="default" w:eastAsia="仿宋_GB2312"/>
          <w:sz w:val="32"/>
        </w:rPr>
      </w:pPr>
      <w:r>
        <w:rPr>
          <w:rFonts w:eastAsia="仿宋_GB2312"/>
          <w:sz w:val="32"/>
        </w:rPr>
        <w:t>（此页为封面）</w:t>
      </w:r>
    </w:p>
    <w:p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  <w:r>
        <w:rPr>
          <w:rFonts w:eastAsia="黑体"/>
          <w:sz w:val="32"/>
        </w:rPr>
        <w:t>部门（单位）基本情况</w:t>
      </w:r>
    </w:p>
    <w:p>
      <w:pPr>
        <w:pStyle w:val="6"/>
        <w:shd w:val="clear" w:color="auto" w:fill="FFFFFF"/>
        <w:spacing w:beforeAutospacing="0" w:afterAutospacing="0" w:line="560" w:lineRule="exact"/>
        <w:ind w:left="64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1、部门职责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（一）负责贯彻执行党的基本路线、方针政策和国家法律、法规，落实上级党委、政府的各项决议和决定。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（二）对本辖区内的重大问题进行决策，研究制定经济社会和文化发展规划。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（三）依照法律和政策，运用经济法律和行政等各种手段，对社会、经济、文化进行管理、监督和调控。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（四）负责本辖区内社会公益事业的建设，促进科技、文化、教育、环保等各项社会事业的协调发展。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ascii="Times New Roman" w:hAnsi="Times New Roman" w:eastAsia="仿宋_GB2312"/>
          <w:spacing w:val="-6"/>
          <w:kern w:val="2"/>
          <w:sz w:val="32"/>
        </w:rPr>
        <w:t>（五）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维护社会秩序，保证社会公正，不断改善经济社会发展环境，为经济建设和人民生活创造良好的条件。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ascii="Times New Roman" w:hAnsi="Times New Roman" w:eastAsia="仿宋_GB2312"/>
          <w:spacing w:val="-6"/>
          <w:kern w:val="2"/>
          <w:sz w:val="32"/>
        </w:rPr>
        <w:t>（六）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加强民主法制宣传教育，加强社会管理综合治理，完善农村治安防控体系，保障人民生命财产安全，确保社会稳定。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ascii="Times New Roman" w:hAnsi="Times New Roman" w:eastAsia="仿宋_GB2312"/>
          <w:spacing w:val="-6"/>
          <w:kern w:val="2"/>
          <w:sz w:val="32"/>
        </w:rPr>
        <w:t>（七）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领导共青团和妇联等组织，搞好民族宗教和统一战线工作。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ascii="Times New Roman" w:hAnsi="Times New Roman" w:eastAsia="仿宋_GB2312"/>
          <w:spacing w:val="-6"/>
          <w:kern w:val="2"/>
          <w:sz w:val="32"/>
        </w:rPr>
        <w:t>（八）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完成上级组织交办的其他事项。</w:t>
      </w:r>
    </w:p>
    <w:p>
      <w:pPr>
        <w:pStyle w:val="6"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2、机构设置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 xml:space="preserve">镇机关内设机构设置如下: </w:t>
      </w:r>
      <w:r>
        <w:rPr>
          <w:rFonts w:ascii="Times New Roman" w:hAnsi="Times New Roman" w:eastAsia="仿宋_GB2312"/>
          <w:spacing w:val="-6"/>
          <w:kern w:val="2"/>
          <w:sz w:val="32"/>
        </w:rPr>
        <w:t>党政综合办公室（行政审批服务办公室、信访办公室）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、</w:t>
      </w:r>
      <w:r>
        <w:rPr>
          <w:rFonts w:ascii="Times New Roman" w:hAnsi="Times New Roman" w:eastAsia="仿宋_GB2312"/>
          <w:spacing w:val="-6"/>
          <w:kern w:val="2"/>
          <w:sz w:val="32"/>
        </w:rPr>
        <w:t>党建工作办公室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、</w:t>
      </w:r>
      <w:r>
        <w:rPr>
          <w:rFonts w:ascii="Times New Roman" w:hAnsi="Times New Roman" w:eastAsia="仿宋_GB2312"/>
          <w:spacing w:val="-6"/>
          <w:kern w:val="2"/>
          <w:sz w:val="32"/>
        </w:rPr>
        <w:t>经济发展办公室（农业农村和扶贫工作办公室）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、</w:t>
      </w:r>
      <w:r>
        <w:rPr>
          <w:rFonts w:ascii="Times New Roman" w:hAnsi="Times New Roman" w:eastAsia="仿宋_GB2312"/>
          <w:spacing w:val="-6"/>
          <w:kern w:val="2"/>
          <w:sz w:val="32"/>
        </w:rPr>
        <w:t>社会事务办公室（卫生健康办公室）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、</w:t>
      </w:r>
      <w:r>
        <w:rPr>
          <w:rFonts w:ascii="Times New Roman" w:hAnsi="Times New Roman" w:eastAsia="仿宋_GB2312"/>
          <w:spacing w:val="-6"/>
          <w:kern w:val="2"/>
          <w:sz w:val="32"/>
        </w:rPr>
        <w:t>自然资源和生态环境办公室（农村房屋建设管理办公室）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、</w:t>
      </w:r>
      <w:r>
        <w:rPr>
          <w:rFonts w:ascii="Times New Roman" w:hAnsi="Times New Roman" w:eastAsia="仿宋_GB2312"/>
          <w:spacing w:val="-6"/>
          <w:kern w:val="2"/>
          <w:sz w:val="32"/>
        </w:rPr>
        <w:t>社会治安和应急管理办公室（社会治安综合治理中心）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镇直属事业单位和综合行政执法机构设置如下：</w:t>
      </w:r>
      <w:r>
        <w:rPr>
          <w:rFonts w:ascii="Times New Roman" w:hAnsi="Times New Roman" w:eastAsia="仿宋_GB2312"/>
          <w:spacing w:val="-6"/>
          <w:kern w:val="2"/>
          <w:sz w:val="32"/>
        </w:rPr>
        <w:t>社会事业综合服务中心（文化综合服务站、禁毒宣教站）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、</w:t>
      </w:r>
      <w:r>
        <w:rPr>
          <w:rFonts w:ascii="Times New Roman" w:hAnsi="Times New Roman" w:eastAsia="仿宋_GB2312"/>
          <w:spacing w:val="-6"/>
          <w:kern w:val="2"/>
          <w:sz w:val="32"/>
        </w:rPr>
        <w:t>农业综合服务中心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、</w:t>
      </w:r>
      <w:r>
        <w:rPr>
          <w:rFonts w:ascii="Times New Roman" w:hAnsi="Times New Roman" w:eastAsia="仿宋_GB2312"/>
          <w:spacing w:val="-6"/>
          <w:kern w:val="2"/>
          <w:sz w:val="32"/>
        </w:rPr>
        <w:t>政务（便民）服务中心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、</w:t>
      </w:r>
      <w:r>
        <w:rPr>
          <w:rFonts w:ascii="Times New Roman" w:hAnsi="Times New Roman" w:eastAsia="仿宋_GB2312"/>
          <w:spacing w:val="-6"/>
          <w:kern w:val="2"/>
          <w:sz w:val="32"/>
        </w:rPr>
        <w:t>退役军人服务站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、</w:t>
      </w:r>
      <w:r>
        <w:rPr>
          <w:rFonts w:ascii="Times New Roman" w:hAnsi="Times New Roman" w:eastAsia="仿宋_GB2312"/>
          <w:spacing w:val="-6"/>
          <w:kern w:val="2"/>
          <w:sz w:val="32"/>
        </w:rPr>
        <w:t>综合行政执法大队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单位实有在职人数39人，其中：行政编制16人，事业编制22人（其中1人在阳明山），工勤编制1人。离退休人员5人。单位公务车辆1辆，单位其他车辆1辆（消防用车）。</w:t>
      </w:r>
    </w:p>
    <w:p>
      <w:pPr>
        <w:spacing w:line="560" w:lineRule="exact"/>
        <w:ind w:firstLine="616" w:firstLineChars="200"/>
        <w:rPr>
          <w:rFonts w:hint="default" w:eastAsia="仿宋_GB2312"/>
          <w:spacing w:val="-6"/>
          <w:sz w:val="32"/>
        </w:rPr>
      </w:pPr>
      <w:r>
        <w:rPr>
          <w:rFonts w:eastAsia="仿宋_GB2312"/>
          <w:spacing w:val="-6"/>
          <w:sz w:val="32"/>
        </w:rPr>
        <w:t>3、单位年度整体支出绩效目标，项目支出绩效目标</w:t>
      </w:r>
    </w:p>
    <w:p>
      <w:pPr>
        <w:spacing w:line="560" w:lineRule="exact"/>
        <w:ind w:firstLine="616" w:firstLineChars="200"/>
        <w:rPr>
          <w:rFonts w:hint="default" w:eastAsia="仿宋_GB2312"/>
          <w:spacing w:val="-6"/>
          <w:sz w:val="32"/>
        </w:rPr>
      </w:pPr>
      <w:r>
        <w:rPr>
          <w:rFonts w:eastAsia="仿宋_GB2312"/>
          <w:spacing w:val="-6"/>
          <w:sz w:val="32"/>
        </w:rPr>
        <w:t>（1）部门年度整体支出绩效目标</w:t>
      </w:r>
    </w:p>
    <w:p>
      <w:pPr>
        <w:spacing w:line="560" w:lineRule="exact"/>
        <w:ind w:firstLine="616" w:firstLineChars="200"/>
        <w:rPr>
          <w:rFonts w:hint="default" w:eastAsia="仿宋_GB2312"/>
          <w:spacing w:val="-6"/>
          <w:sz w:val="32"/>
        </w:rPr>
      </w:pPr>
      <w:r>
        <w:rPr>
          <w:rFonts w:eastAsia="仿宋_GB2312"/>
          <w:spacing w:val="-6"/>
          <w:sz w:val="32"/>
        </w:rPr>
        <w:t>认真贯彻执行党的基本路线、方针政策和上级组织的决议、指示、命令；对本镇的重大问题进行决策，研究制定全镇经济、社会和文化发展规划。</w:t>
      </w:r>
    </w:p>
    <w:p>
      <w:pPr>
        <w:spacing w:line="560" w:lineRule="exact"/>
        <w:ind w:firstLine="616" w:firstLineChars="200"/>
        <w:rPr>
          <w:rFonts w:hint="default" w:eastAsia="仿宋_GB2312"/>
          <w:spacing w:val="-6"/>
          <w:sz w:val="32"/>
        </w:rPr>
      </w:pPr>
      <w:r>
        <w:rPr>
          <w:rFonts w:eastAsia="仿宋_GB2312"/>
          <w:spacing w:val="-6"/>
          <w:sz w:val="32"/>
        </w:rPr>
        <w:t>（2）项目支出绩效目标</w:t>
      </w:r>
    </w:p>
    <w:p>
      <w:pPr>
        <w:spacing w:line="560" w:lineRule="exact"/>
        <w:ind w:firstLine="616" w:firstLineChars="200"/>
        <w:rPr>
          <w:rFonts w:hint="default" w:eastAsia="仿宋_GB2312"/>
          <w:spacing w:val="-6"/>
          <w:sz w:val="32"/>
        </w:rPr>
      </w:pPr>
      <w:r>
        <w:rPr>
          <w:rFonts w:eastAsia="仿宋_GB2312"/>
          <w:spacing w:val="-6"/>
          <w:sz w:val="32"/>
        </w:rPr>
        <w:t>保障镇政府的基本运转，不断提升茶林镇人民政府的服务水平。</w:t>
      </w:r>
    </w:p>
    <w:p>
      <w:pPr>
        <w:pStyle w:val="10"/>
        <w:spacing w:line="570" w:lineRule="exact"/>
        <w:ind w:firstLine="640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二、一般公共预算支出情况</w:t>
      </w:r>
    </w:p>
    <w:p>
      <w:pPr>
        <w:pStyle w:val="10"/>
        <w:spacing w:line="570" w:lineRule="exact"/>
        <w:ind w:firstLine="640"/>
        <w:outlineLvl w:val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2023年度茶林镇人民政府决算支出金额为1285.03万元。</w:t>
      </w:r>
    </w:p>
    <w:p>
      <w:pPr>
        <w:pStyle w:val="10"/>
        <w:numPr>
          <w:ilvl w:val="0"/>
          <w:numId w:val="2"/>
        </w:numPr>
        <w:spacing w:line="570" w:lineRule="exact"/>
        <w:ind w:firstLineChars="0"/>
        <w:outlineLvl w:val="1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基本支出情况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ascii="Times New Roman" w:hAnsi="Times New Roman" w:eastAsia="仿宋_GB2312"/>
          <w:spacing w:val="-6"/>
          <w:kern w:val="2"/>
          <w:sz w:val="32"/>
        </w:rPr>
        <w:t>基本支出：596.2万元，占总支出的比重为46.4%。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其中，</w:t>
      </w:r>
      <w:r>
        <w:rPr>
          <w:rFonts w:ascii="Times New Roman" w:hAnsi="Times New Roman" w:eastAsia="仿宋_GB2312"/>
          <w:spacing w:val="-6"/>
          <w:kern w:val="2"/>
          <w:sz w:val="32"/>
        </w:rPr>
        <w:t>工资福利支出476.17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万元</w:t>
      </w:r>
      <w:r>
        <w:rPr>
          <w:rFonts w:ascii="Times New Roman" w:hAnsi="Times New Roman" w:eastAsia="仿宋_GB2312"/>
          <w:spacing w:val="-6"/>
          <w:kern w:val="2"/>
          <w:sz w:val="32"/>
        </w:rPr>
        <w:t>，主要包括：</w:t>
      </w:r>
      <w:r>
        <w:rPr>
          <w:rFonts w:hint="eastAsia" w:ascii="Times New Roman" w:hAnsi="Times New Roman" w:eastAsia="仿宋_GB2312"/>
          <w:spacing w:val="-6"/>
          <w:kern w:val="2"/>
          <w:sz w:val="32"/>
        </w:rPr>
        <w:t>基本工资136.55万元，津贴补贴105.18万元，奖金99.17万元，绩效工资51.5万元，机关事业单位基本养老保险缴费36.61万元，职工基本医疗保险缴费19.79万元，住房公积金27.37万元。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商品和服务支出107.14万元，主要包括：办公费18.69万元，印刷费15.92万元，电费3.5万元，邮电费0.1万元，差旅费11万元，维修（护）费1万元，会议费1.5万元，培训费4万元，公务接待费11.95万元，劳务费11.83万元，工会经费4万元，福利费2万元，公务用车运行维护费2.95万元，其他交通费用6.5万元，其他商品和服务支出12.2万元。</w:t>
      </w:r>
    </w:p>
    <w:p>
      <w:pPr>
        <w:pStyle w:val="6"/>
        <w:shd w:val="clear" w:color="auto" w:fill="FFFFFF"/>
        <w:spacing w:beforeAutospacing="0" w:afterAutospacing="0" w:line="560" w:lineRule="exact"/>
        <w:ind w:firstLine="616" w:firstLineChars="200"/>
        <w:jc w:val="both"/>
        <w:rPr>
          <w:rFonts w:ascii="Times New Roman" w:hAnsi="Times New Roman" w:eastAsia="仿宋_GB2312"/>
          <w:spacing w:val="-6"/>
          <w:kern w:val="2"/>
          <w:sz w:val="32"/>
        </w:rPr>
      </w:pPr>
      <w:r>
        <w:rPr>
          <w:rFonts w:hint="eastAsia" w:ascii="Times New Roman" w:hAnsi="Times New Roman" w:eastAsia="仿宋_GB2312"/>
          <w:spacing w:val="-6"/>
          <w:kern w:val="2"/>
          <w:sz w:val="32"/>
        </w:rPr>
        <w:t>对个人和家庭的补助12.89万元，主要包括：生活补助4.08万元，救济费0.28万元，奖励金0.17万元，个人农业生产补贴7.99万元，其他对个人和家庭的补助0.37万元。</w:t>
      </w:r>
    </w:p>
    <w:p>
      <w:pPr>
        <w:pStyle w:val="10"/>
        <w:numPr>
          <w:ilvl w:val="0"/>
          <w:numId w:val="2"/>
        </w:numPr>
        <w:spacing w:line="570" w:lineRule="exact"/>
        <w:ind w:firstLineChars="0"/>
        <w:outlineLvl w:val="1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项目支出情况</w:t>
      </w:r>
    </w:p>
    <w:p>
      <w:pPr>
        <w:spacing w:line="570" w:lineRule="exact"/>
        <w:ind w:left="640"/>
        <w:outlineLvl w:val="1"/>
        <w:rPr>
          <w:rFonts w:hint="default" w:eastAsia="仿宋_GB2312"/>
          <w:sz w:val="32"/>
        </w:rPr>
      </w:pPr>
      <w:r>
        <w:rPr>
          <w:rFonts w:eastAsia="仿宋_GB2312"/>
          <w:sz w:val="32"/>
        </w:rPr>
        <w:t>项目支出：688.83万元，占总支出的比重为53.6%。</w:t>
      </w:r>
    </w:p>
    <w:p>
      <w:pPr>
        <w:spacing w:line="570" w:lineRule="exact"/>
        <w:ind w:firstLine="616" w:firstLineChars="200"/>
        <w:outlineLvl w:val="1"/>
        <w:rPr>
          <w:rFonts w:hint="default" w:eastAsia="仿宋_GB2312"/>
          <w:sz w:val="32"/>
        </w:rPr>
      </w:pPr>
      <w:r>
        <w:rPr>
          <w:rFonts w:eastAsia="仿宋_GB2312"/>
          <w:spacing w:val="-6"/>
          <w:sz w:val="32"/>
        </w:rPr>
        <w:t>主要包括：信访办付全吉荣特殊疑难信访问题资金，各项单位往来工作经费，乡镇各部门经费及各单位往来经费，结算补助资金、乡镇党建、消防等工作经费，油罐车侧翻处置款，“三馆一站”资金，茶林镇文化站维修工程，解决茶林镇高速出入口疫情防控工作经费，茶林镇人居环境整治建设工程，旱改水工作经费，农业生产救灾资金，退还高峰村植被恢复费，金星村水沟渠、护堤修复项目和探花村四家坝至西山岭良田灌溉水沟建设项目，茶林镇政府</w:t>
      </w:r>
      <w:r>
        <w:rPr>
          <w:rFonts w:hint="default" w:eastAsia="仿宋_GB2312"/>
          <w:spacing w:val="-6"/>
          <w:sz w:val="32"/>
        </w:rPr>
        <w:t>2022</w:t>
      </w:r>
      <w:r>
        <w:rPr>
          <w:rFonts w:eastAsia="仿宋_GB2312"/>
          <w:spacing w:val="-6"/>
          <w:sz w:val="32"/>
        </w:rPr>
        <w:t>年农业、水利、乡村振兴和综改项目资金质保金等，村级运转经费和村级服务群众专项经费，解决茶林镇消除道路交通安全隐患费用的请示和部、省历年督察及双零行动暨</w:t>
      </w:r>
      <w:r>
        <w:rPr>
          <w:rFonts w:hint="default" w:eastAsia="仿宋_GB2312"/>
          <w:spacing w:val="-6"/>
          <w:sz w:val="32"/>
        </w:rPr>
        <w:t>2022</w:t>
      </w:r>
      <w:r>
        <w:rPr>
          <w:rFonts w:eastAsia="仿宋_GB2312"/>
          <w:spacing w:val="-6"/>
          <w:sz w:val="32"/>
        </w:rPr>
        <w:t>年耕地保护督察和矿产资源土地复垦等项目。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三、政府性基金预算支出情况。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我单位无政府性基金预算支出情况。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四、国有资本经营预算支出情况。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我单位无国有资本经营预算支出情况。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五、社会保险基金预算支出情况。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我单位无社会保险基金预算支出情况。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六、部门整体支出绩效情况</w:t>
      </w:r>
    </w:p>
    <w:p>
      <w:pPr>
        <w:pStyle w:val="11"/>
        <w:spacing w:line="600" w:lineRule="exact"/>
        <w:ind w:firstLine="640"/>
        <w:rPr>
          <w:rFonts w:ascii="Times New Roman" w:hAnsi="Times New Roman" w:eastAsia="仿宋_GB2312" w:cstheme="minorBidi"/>
          <w:color w:val="000000"/>
          <w:kern w:val="0"/>
          <w:sz w:val="32"/>
          <w:szCs w:val="24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</w:rPr>
        <w:t>根据预算绩效管理要求，我单位组织对2023年度部门整体支出和专项资金实施了全覆盖性的绩效评价，撰写了整体支出绩效评价报告和项目支出绩效评价报告。绩效自评结果显示，上述项目支出绩效情况较为理想，均达到了项目申请时设定的各项绩效目标。</w:t>
      </w:r>
    </w:p>
    <w:p>
      <w:pPr>
        <w:pStyle w:val="11"/>
        <w:spacing w:line="600" w:lineRule="exact"/>
        <w:ind w:firstLine="640"/>
        <w:rPr>
          <w:rFonts w:ascii="Times New Roman" w:hAnsi="Times New Roman" w:eastAsia="仿宋_GB2312" w:cstheme="minorBidi"/>
          <w:color w:val="000000"/>
          <w:kern w:val="0"/>
          <w:sz w:val="32"/>
          <w:szCs w:val="24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</w:rPr>
        <w:t>从经济性情况分析看，预算资金覆盖各个需求方面，“三公”经费预算没有超过上年预算安排。预算资金能保障单位正常运转需要，分配办法科学，考虑的因素必要合理，分配的结果合理，能基本保证人员经费支出和机构全年工作运转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七、存在的问题及原因分析</w:t>
      </w:r>
    </w:p>
    <w:p>
      <w:pPr>
        <w:spacing w:line="560" w:lineRule="exact"/>
        <w:ind w:firstLine="640" w:firstLineChars="200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预算编制通过根据下一年度内单位可预见的工作任务，确定了单位年度预算目标，细化了预算指标，但是在实际支付过程中，由于实际情况有变动无法准确预估，导致个别情况未能严格按照预算指标执行。人员严重缺编与工作任务繁重矛盾日益突出。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八、下一步改进措施</w:t>
      </w:r>
    </w:p>
    <w:p>
      <w:pPr>
        <w:spacing w:line="57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57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2、加强财务管理，严格财务审核。加强单位财务管理，健全单位财务管理制度体系，规范单位财务行为。</w:t>
      </w:r>
    </w:p>
    <w:p>
      <w:pPr>
        <w:spacing w:line="57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560" w:lineRule="exact"/>
        <w:ind w:firstLine="645"/>
        <w:jc w:val="left"/>
        <w:outlineLvl w:val="0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九、部门整体支出绩效自评结果拟应用和公开情况</w:t>
      </w:r>
    </w:p>
    <w:p>
      <w:pPr>
        <w:pStyle w:val="2"/>
        <w:ind w:left="420" w:firstLine="640"/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严格按照政府信息公开的有关要求，强化评价结果应用，逐步公开财政支出项目预算及绩效评价结果，接受社会公众对财政资金使用效益的监督。</w:t>
      </w:r>
    </w:p>
    <w:p>
      <w:pPr>
        <w:spacing w:line="570" w:lineRule="exact"/>
        <w:ind w:firstLine="645"/>
        <w:jc w:val="left"/>
        <w:rPr>
          <w:rFonts w:hint="default" w:eastAsia="黑体"/>
          <w:sz w:val="32"/>
        </w:rPr>
      </w:pPr>
      <w:r>
        <w:rPr>
          <w:rFonts w:eastAsia="黑体"/>
          <w:sz w:val="32"/>
        </w:rPr>
        <w:t>其他需要说明的情况</w:t>
      </w:r>
    </w:p>
    <w:p>
      <w:pPr>
        <w:spacing w:line="570" w:lineRule="exact"/>
        <w:ind w:firstLine="480" w:firstLineChars="150"/>
        <w:jc w:val="left"/>
        <w:rPr>
          <w:rFonts w:hint="default" w:eastAsia="黑体"/>
          <w:sz w:val="32"/>
        </w:rPr>
      </w:pPr>
      <w:r>
        <w:rPr>
          <w:rFonts w:eastAsia="仿宋_GB2312"/>
          <w:color w:val="000000"/>
          <w:kern w:val="0"/>
          <w:sz w:val="32"/>
        </w:rPr>
        <w:t xml:space="preserve"> 无。</w:t>
      </w: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2023年度部门整体支出绩效评价基础数据表</w:t>
      </w:r>
    </w:p>
    <w:tbl>
      <w:tblPr>
        <w:tblStyle w:val="7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53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39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73.58%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2022年决算数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491.08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444.65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596.2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69.24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46.4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107.14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5.4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18.69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11.94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9.5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14.5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3.65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1.5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5.5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14.99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14.9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14.9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2.95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2.95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2.95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2.95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11.99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11.95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11.95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592.31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600.76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688.83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30.44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210.32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596.2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596.2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楼堂馆所控制情况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（2023年完工项目）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压缩一般性支出。　</w:t>
            </w:r>
          </w:p>
        </w:tc>
      </w:tr>
    </w:tbl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spacing w:line="440" w:lineRule="exact"/>
        <w:jc w:val="left"/>
        <w:rPr>
          <w:rFonts w:hint="default" w:eastAsia="黑体"/>
          <w:sz w:val="32"/>
        </w:rPr>
      </w:pPr>
      <w:r>
        <w:rPr>
          <w:rFonts w:asciiTheme="minorEastAsia" w:hAnsiTheme="minorEastAsia" w:eastAsiaTheme="minorEastAsia" w:cstheme="minorEastAsia"/>
          <w:sz w:val="24"/>
        </w:rPr>
        <w:t>填表人：刘甜甜  填报日期：2024.04.08 联系电话：7930001 单位负责人签字：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2023年度部门整体支出绩效自评表</w:t>
      </w:r>
    </w:p>
    <w:tbl>
      <w:tblPr>
        <w:tblStyle w:val="7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9"/>
        <w:gridCol w:w="721"/>
        <w:gridCol w:w="1276"/>
        <w:gridCol w:w="979"/>
        <w:gridCol w:w="68"/>
        <w:gridCol w:w="1077"/>
        <w:gridCol w:w="1200"/>
        <w:gridCol w:w="716"/>
        <w:gridCol w:w="881"/>
        <w:gridCol w:w="14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5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双牌县茶林镇人民政府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9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全年预算数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全年执行数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1045.41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1285.03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1285.03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100%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</w:t>
            </w:r>
          </w:p>
        </w:tc>
        <w:tc>
          <w:tcPr>
            <w:tcW w:w="4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一般公共预算：830.06</w:t>
            </w:r>
          </w:p>
        </w:tc>
        <w:tc>
          <w:tcPr>
            <w:tcW w:w="4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其中：基本支出：596.2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政府性基金拨款：0</w:t>
            </w:r>
          </w:p>
        </w:tc>
        <w:tc>
          <w:tcPr>
            <w:tcW w:w="4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项目支出：688.83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纳入专户管理的非税收入拨款：0</w:t>
            </w:r>
          </w:p>
        </w:tc>
        <w:tc>
          <w:tcPr>
            <w:tcW w:w="4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其他资金：454.97</w:t>
            </w:r>
          </w:p>
        </w:tc>
        <w:tc>
          <w:tcPr>
            <w:tcW w:w="4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认真贯彻执行党的基本路线、方针政策和上级组织的决议、指示、命令；对本镇的重大问题进行决策，研究制定全镇经济、社会和文化发展规划。</w:t>
            </w:r>
          </w:p>
        </w:tc>
        <w:tc>
          <w:tcPr>
            <w:tcW w:w="4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认真贯彻执行党的基本路线、方针政策和上级组织的决议、指示、命令；对本镇的重大问题进行决策，研究制定全镇经济、社会和文化发展规划。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数量指标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完成支出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质量指标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资金使用合格率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时效指标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完成支出及时率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成本指标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成本控制率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（40分）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经济效益</w:t>
            </w:r>
          </w:p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促进经济发展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经济发展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经济发展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促进社会发展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社会发展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社会发展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生态效益</w:t>
            </w:r>
          </w:p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促进</w:t>
            </w:r>
          </w:p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生态保护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生态保护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生态保护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促进可持续发展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促进可持续发展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促进可持续发展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满意度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服务对象满意度指标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≥95%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90%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9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80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97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spacing w:line="440" w:lineRule="exact"/>
        <w:jc w:val="left"/>
        <w:rPr>
          <w:rFonts w:hint="default"/>
        </w:rPr>
      </w:pPr>
      <w:r>
        <w:rPr>
          <w:rFonts w:eastAsia="仿宋_GB2312"/>
          <w:sz w:val="22"/>
        </w:rPr>
        <w:t>填表人：刘甜甜</w:t>
      </w:r>
      <w:r>
        <w:rPr>
          <w:rFonts w:hint="default" w:eastAsia="仿宋_GB2312"/>
          <w:sz w:val="22"/>
        </w:rPr>
        <w:t xml:space="preserve"> </w:t>
      </w:r>
      <w:r>
        <w:rPr>
          <w:rFonts w:eastAsia="仿宋_GB2312"/>
          <w:sz w:val="22"/>
        </w:rPr>
        <w:t xml:space="preserve"> 填报日期：2024.04.08  </w:t>
      </w:r>
      <w:r>
        <w:rPr>
          <w:rFonts w:hint="default" w:eastAsia="仿宋_GB2312"/>
          <w:sz w:val="22"/>
        </w:rPr>
        <w:t xml:space="preserve"> </w:t>
      </w:r>
      <w:r>
        <w:rPr>
          <w:rFonts w:eastAsia="仿宋_GB2312"/>
          <w:sz w:val="22"/>
        </w:rPr>
        <w:t>联系电话：7930001  单位负责人签字：</w:t>
      </w:r>
      <w:r>
        <w:rPr>
          <w:rFonts w:hint="default"/>
        </w:rPr>
        <w:t xml:space="preserve"> </w:t>
      </w:r>
    </w:p>
    <w:p>
      <w:pPr>
        <w:spacing w:line="440" w:lineRule="exact"/>
        <w:jc w:val="left"/>
        <w:rPr>
          <w:rFonts w:hint="default" w:eastAsia="黑体"/>
          <w:color w:val="000000"/>
          <w:sz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688.83万元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双牌县茶林镇人民政府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保证镇政府的基本运转，不断提升政府的服务水平。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年初预算数600.76万元，全年执行数688.83万元，各项目均按时保质保量完成，项目资金专款专用。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项目绩效目标（成本指标、产出指标、效益指标）均按照预期较好完成。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项目管理机制不健全。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建议设置独立管理机构，合理搭配工程、财务、后期保障人员，提升管理水平。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无。</w:t>
            </w: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填表人：刘甜甜  填报日期：2024.04.08 联系电话：7930001单位负责人签字：</w:t>
      </w: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</w:t>
      </w:r>
    </w:p>
    <w:p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2023年度项目支出绩效自评表</w:t>
      </w:r>
    </w:p>
    <w:tbl>
      <w:tblPr>
        <w:tblStyle w:val="7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4"/>
        <w:gridCol w:w="1134"/>
        <w:gridCol w:w="1843"/>
        <w:gridCol w:w="1134"/>
        <w:gridCol w:w="851"/>
        <w:gridCol w:w="992"/>
        <w:gridCol w:w="709"/>
        <w:gridCol w:w="641"/>
        <w:gridCol w:w="1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0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出名称</w:t>
            </w:r>
          </w:p>
        </w:tc>
        <w:tc>
          <w:tcPr>
            <w:tcW w:w="8412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主管部门</w:t>
            </w:r>
          </w:p>
        </w:tc>
        <w:tc>
          <w:tcPr>
            <w:tcW w:w="49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双牌县茶林镇人民政府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实施单位</w:t>
            </w: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双牌县茶林镇人民政府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0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项目资金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年初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全年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600.76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688.83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688.83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其中：当年财政拨款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345.31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306.5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306.5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上年结转资金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255.45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382.33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382.33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10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9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34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9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保障政府的基本运转，不断提升茶林镇人民政府服务水平。</w:t>
            </w:r>
          </w:p>
        </w:tc>
        <w:tc>
          <w:tcPr>
            <w:tcW w:w="34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保障政府的基本运转，不断提升茶林镇人民政府服务水平。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10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指标值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完成值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分析及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成本指标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经济成本指标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支出控制在预算内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600.76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688.83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9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生态环境成本指标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改善环境，保护环境意识提高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产出指标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（40分）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完成支出额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600.76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688.83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9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  <w:t>项目验收合格率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20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20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完成支出及时率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效益指标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  <w:t>促进本乡经济发展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保护生态发展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  <w:t>经济增长、物价稳定、公平分配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满意度指标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（10分）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服务对象满意度指标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社会公众或服务对象满意度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≥95%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≥95%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99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98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jc w:val="left"/>
        <w:rPr>
          <w:rFonts w:hint="default" w:eastAsia="仿宋_GB2312"/>
          <w:sz w:val="22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Theme="minorEastAsia" w:hAnsiTheme="minorEastAsia" w:eastAsiaTheme="minorEastAsia" w:cstheme="minorEastAsia"/>
          <w:sz w:val="24"/>
        </w:rPr>
        <w:t>填表人：刘甜甜 填报日期：2024.04.08  联系电话：7930001 单位负责人签字：</w:t>
      </w:r>
    </w:p>
    <w:p>
      <w:pPr>
        <w:spacing w:afterLines="50" w:line="600" w:lineRule="exact"/>
        <w:rPr>
          <w:rFonts w:hint="default" w:eastAsia="黑体"/>
          <w:sz w:val="32"/>
        </w:rPr>
      </w:pPr>
      <w:bookmarkStart w:id="0" w:name="_GoBack"/>
      <w:bookmarkEnd w:id="0"/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line="440" w:lineRule="exact"/>
        <w:rPr>
          <w:rFonts w:hint="default" w:eastAsia="黑体"/>
          <w:sz w:val="32"/>
        </w:rPr>
      </w:pPr>
    </w:p>
    <w:p>
      <w:pPr>
        <w:pStyle w:val="2"/>
        <w:ind w:left="420"/>
        <w:rPr>
          <w:rFonts w:hint="default" w:eastAsia="黑体"/>
        </w:rPr>
      </w:pPr>
    </w:p>
    <w:sectPr>
      <w:pgSz w:w="11905" w:h="16837"/>
      <w:pgMar w:top="1440" w:right="1701" w:bottom="1440" w:left="1701" w:header="851" w:footer="1474" w:gutter="0"/>
      <w:pgNumType w:fmt="numberInDash" w:start="1"/>
      <w:cols w:space="0" w:num="1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- 1 -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3076" o:spid="_x0000_s307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- 2 -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6B200A1F"/>
    <w:multiLevelType w:val="multilevel"/>
    <w:tmpl w:val="6B200A1F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_x000a_Ŭ"/>
  </w:docVars>
  <w:rsids>
    <w:rsidRoot w:val="00172A27"/>
    <w:rsid w:val="000B1764"/>
    <w:rsid w:val="0016568F"/>
    <w:rsid w:val="00172A27"/>
    <w:rsid w:val="001917BD"/>
    <w:rsid w:val="001B5827"/>
    <w:rsid w:val="001F72A7"/>
    <w:rsid w:val="00213DA5"/>
    <w:rsid w:val="002174C4"/>
    <w:rsid w:val="00236118"/>
    <w:rsid w:val="00267DBE"/>
    <w:rsid w:val="00277419"/>
    <w:rsid w:val="00292569"/>
    <w:rsid w:val="003376A8"/>
    <w:rsid w:val="003703DF"/>
    <w:rsid w:val="00376BD5"/>
    <w:rsid w:val="003A2082"/>
    <w:rsid w:val="003F6C50"/>
    <w:rsid w:val="003F7D64"/>
    <w:rsid w:val="00410BF0"/>
    <w:rsid w:val="00413115"/>
    <w:rsid w:val="004417C3"/>
    <w:rsid w:val="0047371D"/>
    <w:rsid w:val="004968F1"/>
    <w:rsid w:val="004A73E8"/>
    <w:rsid w:val="004C0AA8"/>
    <w:rsid w:val="004C7DFF"/>
    <w:rsid w:val="00507A0F"/>
    <w:rsid w:val="005A1736"/>
    <w:rsid w:val="005A652C"/>
    <w:rsid w:val="00672840"/>
    <w:rsid w:val="006770EC"/>
    <w:rsid w:val="007F7962"/>
    <w:rsid w:val="008F387B"/>
    <w:rsid w:val="00907112"/>
    <w:rsid w:val="009232FA"/>
    <w:rsid w:val="009547A1"/>
    <w:rsid w:val="00970463"/>
    <w:rsid w:val="00992853"/>
    <w:rsid w:val="00A74411"/>
    <w:rsid w:val="00A8667C"/>
    <w:rsid w:val="00B150C9"/>
    <w:rsid w:val="00BF7FC9"/>
    <w:rsid w:val="00C2072C"/>
    <w:rsid w:val="00C5565B"/>
    <w:rsid w:val="00C615C6"/>
    <w:rsid w:val="00D604E3"/>
    <w:rsid w:val="00D62DD8"/>
    <w:rsid w:val="00DE193A"/>
    <w:rsid w:val="00E658A1"/>
    <w:rsid w:val="00E74AD3"/>
    <w:rsid w:val="00EA3AAF"/>
    <w:rsid w:val="00EE2830"/>
    <w:rsid w:val="00EF4472"/>
    <w:rsid w:val="00F76565"/>
    <w:rsid w:val="00FD294C"/>
    <w:rsid w:val="0CCE5073"/>
    <w:rsid w:val="101F3C57"/>
    <w:rsid w:val="105E064F"/>
    <w:rsid w:val="154B3473"/>
    <w:rsid w:val="15B02F86"/>
    <w:rsid w:val="1BCE59A7"/>
    <w:rsid w:val="1D5E5630"/>
    <w:rsid w:val="1F9C1D8C"/>
    <w:rsid w:val="20BA3D5C"/>
    <w:rsid w:val="20FE29CD"/>
    <w:rsid w:val="213827F6"/>
    <w:rsid w:val="24756501"/>
    <w:rsid w:val="27E50F01"/>
    <w:rsid w:val="2AF82401"/>
    <w:rsid w:val="31EF3498"/>
    <w:rsid w:val="33457B5A"/>
    <w:rsid w:val="33EA0D37"/>
    <w:rsid w:val="3DFB432B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BA52A9"/>
    <w:rsid w:val="5C8E01AF"/>
    <w:rsid w:val="62BE6D8B"/>
    <w:rsid w:val="64E742EF"/>
    <w:rsid w:val="684B0AD7"/>
    <w:rsid w:val="6E351362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9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  <w:rPr>
      <w:rFonts w:hint="default" w:ascii="Calibri" w:hAnsi="Calibri" w:eastAsia="宋体" w:cs="Times New Roman"/>
      <w:szCs w:val="21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E649C-DD65-47DF-A203-E111096B3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384</Words>
  <Characters>2192</Characters>
  <Lines>18</Lines>
  <Paragraphs>5</Paragraphs>
  <TotalTime>0</TotalTime>
  <ScaleCrop>false</ScaleCrop>
  <LinksUpToDate>false</LinksUpToDate>
  <CharactersWithSpaces>2571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2024-05-22T02:35:00Z</dcterms:created>
  <dc:creator>海之韵</dc:creator>
  <cp:lastModifiedBy>Administrator</cp:lastModifiedBy>
  <dcterms:modified xsi:type="dcterms:W3CDTF">2024-12-10T02:17:49Z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C05C0A58C1B94E6DA3F69BCC80938D65_11</vt:lpwstr>
  </property>
</Properties>
</file>