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202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52"/>
          <w:szCs w:val="24"/>
        </w:rPr>
        <w:t>年度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何家洞镇</w:t>
      </w:r>
      <w:r>
        <w:rPr>
          <w:rFonts w:hint="eastAsia" w:ascii="方正小标宋简体" w:eastAsia="方正小标宋简体"/>
          <w:sz w:val="52"/>
          <w:szCs w:val="24"/>
        </w:rPr>
        <w:t>部门整体支出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绩效自评报告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 w:line="600" w:lineRule="exact"/>
        <w:jc w:val="center"/>
        <w:rPr>
          <w:rFonts w:hint="default" w:eastAsia="仿宋_GB2312"/>
          <w:sz w:val="32"/>
          <w:szCs w:val="24"/>
          <w:u w:val="single"/>
        </w:rPr>
      </w:pPr>
      <w:r>
        <w:rPr>
          <w:rFonts w:hint="eastAsia" w:eastAsia="仿宋_GB2312"/>
          <w:sz w:val="32"/>
          <w:szCs w:val="24"/>
        </w:rPr>
        <w:t>单位名称</w:t>
      </w:r>
      <w:r>
        <w:rPr>
          <w:rFonts w:hint="eastAsia" w:eastAsia="仿宋_GB2312"/>
          <w:sz w:val="32"/>
          <w:szCs w:val="24"/>
          <w:u w:val="none"/>
        </w:rPr>
        <w:t>（盖章）</w:t>
      </w:r>
      <w:r>
        <w:rPr>
          <w:rFonts w:hint="eastAsia" w:eastAsia="仿宋_GB2312"/>
          <w:sz w:val="32"/>
          <w:szCs w:val="24"/>
        </w:rPr>
        <w:t>：</w:t>
      </w:r>
      <w:r>
        <w:rPr>
          <w:rFonts w:hint="eastAsia" w:eastAsia="仿宋_GB2312"/>
          <w:sz w:val="32"/>
          <w:szCs w:val="24"/>
          <w:u w:val="single"/>
        </w:rPr>
        <w:t>双牌县何家洞镇人民政府</w:t>
      </w:r>
    </w:p>
    <w:p>
      <w:pPr>
        <w:spacing w:beforeLines="0" w:afterLines="0" w:line="600" w:lineRule="exact"/>
        <w:ind w:firstLine="3200" w:firstLineChars="1000"/>
        <w:rPr>
          <w:rFonts w:hint="eastAsia" w:eastAsia="楷体_GB2312"/>
          <w:sz w:val="32"/>
          <w:szCs w:val="24"/>
        </w:rPr>
      </w:pPr>
    </w:p>
    <w:p>
      <w:pPr>
        <w:spacing w:beforeLines="0" w:afterLines="0" w:line="600" w:lineRule="exact"/>
        <w:ind w:firstLine="3200" w:firstLineChars="1000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  <w:lang w:val="en-US" w:eastAsia="zh-CN"/>
        </w:rPr>
        <w:t>2024</w:t>
      </w:r>
      <w:r>
        <w:rPr>
          <w:rFonts w:hint="eastAsia" w:eastAsia="楷体_GB2312"/>
          <w:sz w:val="32"/>
          <w:szCs w:val="24"/>
        </w:rPr>
        <w:t>年</w:t>
      </w:r>
      <w:r>
        <w:rPr>
          <w:rFonts w:hint="eastAsia" w:eastAsia="楷体_GB2312"/>
          <w:sz w:val="32"/>
          <w:szCs w:val="24"/>
          <w:lang w:val="en-US" w:eastAsia="zh-CN"/>
        </w:rPr>
        <w:t>4</w:t>
      </w:r>
      <w:r>
        <w:rPr>
          <w:rFonts w:hint="eastAsia" w:eastAsia="楷体_GB2312"/>
          <w:sz w:val="32"/>
          <w:szCs w:val="24"/>
        </w:rPr>
        <w:t>月</w:t>
      </w:r>
      <w:r>
        <w:rPr>
          <w:rFonts w:hint="eastAsia" w:eastAsia="楷体_GB2312"/>
          <w:sz w:val="32"/>
          <w:szCs w:val="24"/>
          <w:lang w:val="en-US" w:eastAsia="zh-CN"/>
        </w:rPr>
        <w:t>12</w:t>
      </w:r>
      <w:r>
        <w:rPr>
          <w:rFonts w:hint="eastAsia" w:eastAsia="楷体_GB2312"/>
          <w:sz w:val="32"/>
          <w:szCs w:val="24"/>
        </w:rPr>
        <w:t>日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outlineLvl w:val="0"/>
        <w:rPr>
          <w:rFonts w:hint="default" w:eastAsia="仿宋_GB2312"/>
          <w:sz w:val="32"/>
          <w:szCs w:val="24"/>
        </w:rPr>
      </w:pPr>
      <w:r>
        <w:rPr>
          <w:rFonts w:hint="eastAsia" w:eastAsia="仿宋_GB2312"/>
          <w:sz w:val="32"/>
          <w:szCs w:val="24"/>
        </w:rPr>
        <w:t>（此页为封面）</w:t>
      </w:r>
    </w:p>
    <w:p>
      <w:pPr>
        <w:numPr>
          <w:ilvl w:val="0"/>
          <w:numId w:val="1"/>
        </w:numPr>
        <w:spacing w:beforeLines="0" w:afterLines="0" w:line="570" w:lineRule="exact"/>
        <w:outlineLvl w:val="0"/>
        <w:rPr>
          <w:rFonts w:hint="default" w:eastAsia="黑体"/>
          <w:sz w:val="32"/>
          <w:szCs w:val="24"/>
        </w:rPr>
      </w:pPr>
      <w:r>
        <w:rPr>
          <w:rFonts w:hint="default" w:eastAsia="仿宋_GB2312"/>
          <w:sz w:val="32"/>
          <w:szCs w:val="24"/>
        </w:rPr>
        <w:br w:type="page"/>
      </w:r>
      <w:r>
        <w:rPr>
          <w:rFonts w:hint="eastAsia" w:eastAsia="黑体"/>
          <w:sz w:val="32"/>
          <w:szCs w:val="24"/>
        </w:rPr>
        <w:t>部门基本情况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（一）部门职能职责、机构编制、人员构成等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 xml:space="preserve">1、职能职责 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 xml:space="preserve">(1)认真贯彻执行党的基本路线、方针政策和国家法律、法规，落实上级党委、政府的各项决议和决定。 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 xml:space="preserve">(2)对本辖区内的重大问题进行决策，研究制定经济社会和文化发展规划。 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 xml:space="preserve">(3)依照法律和政策，运用经济法律和行政等各种手段，对社会、经济、文化进行管理、监督和调控。 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 xml:space="preserve">(4)负责本辖区内社会公益事业的建设，促进科技、文化、教育、环保等各项社会事业的协调发展。 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 xml:space="preserve">(5)维护社会秩序，保证社会公正，不断改善经济社会发展环境，为经济建设和人民生活创造良好的条件。 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 xml:space="preserve">(6)加强民主法制宣传教育，加强社会管理综合治理，完善农村治安防控体系，保障人民生命财产安全，确保社会稳定。 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 xml:space="preserve">(7)领导共青团和妇联等组织，搞好民族宗教和统一战线工作。 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 xml:space="preserve">(8)完成上级组织交办的其他事项。 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2、机构设置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根据《中共双牌县委办公室双牌县人民政府办公室关于印发&lt;双牌县何家洞镇主要职责、内设机构和人员编制规定&gt;的通知》（双办发［2019］57号），何家洞镇机关设6个内设机构：（1）党政综合办公室（行政审批服务办公室、信访办公室）；（2）基层党建办公室；（3）经济发展办公室（农业农村和扶贫工作办公室）；（4）社会事务办公室（卫生健康办公室）；（5）自然资源和生态环境办公室（农村房屋建设管理办公室）；（6）社会治安和应急管理办公室（社会治安综合治理中心）。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镇人大、纪检监察、人武部和群众团体等组织按有关规定设置。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何家洞镇直属事业单位和综合行政执法机构设置如下：镇直属事业单位规范设置为4个：（1）社会事业综合服务中心（文化综合服务站、禁毒宣教站）；（2）农业综合服务中心；（3）政务（便民）服务中心；（4）退役军人服务站。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镇设置综合行政执法机构1个：综合行政执法大队。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3、人员构成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双牌县何家洞镇人民政府单位核定编制数49人，其中，行政编制19人，事业编制30人。202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24"/>
        </w:rPr>
        <w:t>年末单位实有人数32人，其中，行政编制1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24"/>
        </w:rPr>
        <w:t>人，事业编制1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24"/>
        </w:rPr>
        <w:t xml:space="preserve">人。 </w:t>
      </w:r>
    </w:p>
    <w:p>
      <w:pPr>
        <w:numPr>
          <w:ilvl w:val="0"/>
          <w:numId w:val="2"/>
        </w:numPr>
        <w:spacing w:beforeLines="0" w:afterLines="0" w:line="570" w:lineRule="exact"/>
        <w:ind w:firstLine="640" w:firstLineChars="200"/>
        <w:outlineLvl w:val="1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部门整体支出规模</w:t>
      </w:r>
    </w:p>
    <w:p>
      <w:pPr>
        <w:numPr>
          <w:ilvl w:val="0"/>
          <w:numId w:val="0"/>
        </w:numPr>
        <w:spacing w:beforeLines="0" w:afterLines="0" w:line="570" w:lineRule="exact"/>
        <w:ind w:firstLine="640" w:firstLineChars="200"/>
        <w:outlineLvl w:val="1"/>
        <w:rPr>
          <w:rFonts w:hint="eastAsia" w:eastAsia="仿宋_GB2312"/>
          <w:color w:val="000000"/>
          <w:sz w:val="32"/>
          <w:szCs w:val="24"/>
          <w:highlight w:val="none"/>
        </w:rPr>
      </w:pPr>
      <w:r>
        <w:rPr>
          <w:rFonts w:hint="eastAsia" w:eastAsia="仿宋_GB2312"/>
          <w:color w:val="000000"/>
          <w:sz w:val="32"/>
          <w:szCs w:val="24"/>
          <w:highlight w:val="none"/>
        </w:rPr>
        <w:t>本年度部门整体支出16</w:t>
      </w:r>
      <w:r>
        <w:rPr>
          <w:rFonts w:hint="eastAsia" w:eastAsia="仿宋_GB2312"/>
          <w:color w:val="000000"/>
          <w:sz w:val="32"/>
          <w:szCs w:val="24"/>
          <w:highlight w:val="none"/>
          <w:lang w:val="en-US" w:eastAsia="zh-CN"/>
        </w:rPr>
        <w:t>21.61</w:t>
      </w:r>
      <w:r>
        <w:rPr>
          <w:rFonts w:hint="eastAsia" w:eastAsia="仿宋_GB2312"/>
          <w:color w:val="000000"/>
          <w:sz w:val="32"/>
          <w:szCs w:val="24"/>
          <w:highlight w:val="none"/>
        </w:rPr>
        <w:t>万元，其中，基本支出</w:t>
      </w:r>
      <w:r>
        <w:rPr>
          <w:rFonts w:hint="eastAsia" w:eastAsia="仿宋_GB2312"/>
          <w:color w:val="000000"/>
          <w:sz w:val="32"/>
          <w:szCs w:val="24"/>
          <w:highlight w:val="none"/>
          <w:lang w:val="en-US" w:eastAsia="zh-CN"/>
        </w:rPr>
        <w:t>460.6</w:t>
      </w:r>
      <w:r>
        <w:rPr>
          <w:rFonts w:hint="eastAsia" w:eastAsia="仿宋_GB2312"/>
          <w:color w:val="000000"/>
          <w:sz w:val="32"/>
          <w:szCs w:val="24"/>
          <w:highlight w:val="none"/>
        </w:rPr>
        <w:t>万元，项目支出1</w:t>
      </w:r>
      <w:r>
        <w:rPr>
          <w:rFonts w:hint="eastAsia" w:eastAsia="仿宋_GB2312"/>
          <w:color w:val="000000"/>
          <w:sz w:val="32"/>
          <w:szCs w:val="24"/>
          <w:highlight w:val="none"/>
          <w:lang w:val="en-US" w:eastAsia="zh-CN"/>
        </w:rPr>
        <w:t>161.01</w:t>
      </w:r>
      <w:r>
        <w:rPr>
          <w:rFonts w:hint="eastAsia" w:eastAsia="仿宋_GB2312"/>
          <w:color w:val="000000"/>
          <w:sz w:val="32"/>
          <w:szCs w:val="24"/>
          <w:highlight w:val="none"/>
        </w:rPr>
        <w:t>万元。收入决算数16</w:t>
      </w:r>
      <w:r>
        <w:rPr>
          <w:rFonts w:hint="eastAsia" w:eastAsia="仿宋_GB2312"/>
          <w:color w:val="000000"/>
          <w:sz w:val="32"/>
          <w:szCs w:val="24"/>
          <w:highlight w:val="none"/>
          <w:lang w:val="en-US" w:eastAsia="zh-CN"/>
        </w:rPr>
        <w:t>21.61</w:t>
      </w:r>
      <w:r>
        <w:rPr>
          <w:rFonts w:hint="eastAsia" w:eastAsia="仿宋_GB2312"/>
          <w:color w:val="000000"/>
          <w:sz w:val="32"/>
          <w:szCs w:val="24"/>
          <w:highlight w:val="none"/>
        </w:rPr>
        <w:t>万元，比年初预算数减少</w:t>
      </w:r>
      <w:r>
        <w:rPr>
          <w:rFonts w:hint="eastAsia" w:eastAsia="仿宋_GB2312"/>
          <w:color w:val="000000"/>
          <w:sz w:val="32"/>
          <w:szCs w:val="24"/>
          <w:highlight w:val="none"/>
          <w:lang w:val="en-US" w:eastAsia="zh-CN"/>
        </w:rPr>
        <w:t>1565.71</w:t>
      </w:r>
      <w:r>
        <w:rPr>
          <w:rFonts w:hint="eastAsia" w:eastAsia="仿宋_GB2312"/>
          <w:color w:val="000000"/>
          <w:sz w:val="32"/>
          <w:szCs w:val="24"/>
          <w:highlight w:val="none"/>
        </w:rPr>
        <w:t>万元，变动主要原因是其他收入</w:t>
      </w:r>
      <w:r>
        <w:rPr>
          <w:rFonts w:hint="eastAsia" w:eastAsia="仿宋_GB2312"/>
          <w:color w:val="000000"/>
          <w:sz w:val="32"/>
          <w:szCs w:val="24"/>
          <w:highlight w:val="none"/>
          <w:lang w:eastAsia="zh-CN"/>
        </w:rPr>
        <w:t>、</w:t>
      </w:r>
      <w:r>
        <w:rPr>
          <w:rFonts w:hint="eastAsia" w:eastAsia="仿宋_GB2312"/>
          <w:color w:val="000000"/>
          <w:sz w:val="32"/>
          <w:szCs w:val="24"/>
          <w:highlight w:val="none"/>
        </w:rPr>
        <w:t>年初结转和结余减少。支出决算数16</w:t>
      </w:r>
      <w:r>
        <w:rPr>
          <w:rFonts w:hint="eastAsia" w:eastAsia="仿宋_GB2312"/>
          <w:color w:val="000000"/>
          <w:sz w:val="32"/>
          <w:szCs w:val="24"/>
          <w:highlight w:val="none"/>
          <w:lang w:val="en-US" w:eastAsia="zh-CN"/>
        </w:rPr>
        <w:t>21.61</w:t>
      </w:r>
      <w:r>
        <w:rPr>
          <w:rFonts w:hint="eastAsia" w:eastAsia="仿宋_GB2312"/>
          <w:color w:val="000000"/>
          <w:sz w:val="32"/>
          <w:szCs w:val="24"/>
          <w:highlight w:val="none"/>
        </w:rPr>
        <w:t>万元，比年初预算数减少</w:t>
      </w:r>
      <w:r>
        <w:rPr>
          <w:rFonts w:hint="eastAsia" w:eastAsia="仿宋_GB2312"/>
          <w:color w:val="000000"/>
          <w:sz w:val="32"/>
          <w:szCs w:val="24"/>
          <w:highlight w:val="none"/>
          <w:lang w:val="en-US" w:eastAsia="zh-CN"/>
        </w:rPr>
        <w:t>1565.71</w:t>
      </w:r>
      <w:r>
        <w:rPr>
          <w:rFonts w:hint="eastAsia" w:eastAsia="仿宋_GB2312"/>
          <w:color w:val="000000"/>
          <w:sz w:val="32"/>
          <w:szCs w:val="24"/>
          <w:highlight w:val="none"/>
        </w:rPr>
        <w:t>万元，变动主要原因是一般公共服务支出、农林水支出</w:t>
      </w:r>
      <w:r>
        <w:rPr>
          <w:rFonts w:hint="eastAsia" w:eastAsia="仿宋_GB2312"/>
          <w:color w:val="000000"/>
          <w:sz w:val="32"/>
          <w:szCs w:val="24"/>
          <w:highlight w:val="none"/>
          <w:lang w:eastAsia="zh-CN"/>
        </w:rPr>
        <w:t>、灾害防治及应急管理支出</w:t>
      </w:r>
      <w:r>
        <w:rPr>
          <w:rFonts w:hint="eastAsia" w:eastAsia="仿宋_GB2312"/>
          <w:color w:val="000000"/>
          <w:sz w:val="32"/>
          <w:szCs w:val="24"/>
          <w:highlight w:val="none"/>
        </w:rPr>
        <w:t>减少。</w:t>
      </w:r>
    </w:p>
    <w:p>
      <w:pPr>
        <w:numPr>
          <w:ilvl w:val="0"/>
          <w:numId w:val="0"/>
        </w:numPr>
        <w:spacing w:beforeLines="0" w:afterLines="0" w:line="570" w:lineRule="exact"/>
        <w:ind w:firstLine="640" w:firstLineChars="200"/>
        <w:outlineLvl w:val="1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eastAsia="仿宋_GB2312"/>
          <w:color w:val="000000"/>
          <w:sz w:val="32"/>
          <w:szCs w:val="24"/>
          <w:highlight w:val="none"/>
        </w:rPr>
        <w:t>三公经费预算数</w:t>
      </w:r>
      <w:r>
        <w:rPr>
          <w:rFonts w:hint="eastAsia" w:eastAsia="仿宋_GB2312"/>
          <w:color w:val="000000"/>
          <w:sz w:val="32"/>
          <w:szCs w:val="24"/>
          <w:highlight w:val="none"/>
          <w:lang w:val="en-US" w:eastAsia="zh-CN"/>
        </w:rPr>
        <w:t>18.9</w:t>
      </w:r>
      <w:r>
        <w:rPr>
          <w:rFonts w:hint="eastAsia" w:eastAsia="仿宋_GB2312"/>
          <w:color w:val="000000"/>
          <w:sz w:val="32"/>
          <w:szCs w:val="24"/>
          <w:highlight w:val="none"/>
        </w:rPr>
        <w:t>万元，决算数</w:t>
      </w:r>
      <w:r>
        <w:rPr>
          <w:rFonts w:hint="eastAsia" w:eastAsia="仿宋_GB2312"/>
          <w:color w:val="000000"/>
          <w:sz w:val="32"/>
          <w:szCs w:val="24"/>
          <w:highlight w:val="none"/>
          <w:lang w:val="en-US" w:eastAsia="zh-CN"/>
        </w:rPr>
        <w:t>18.84</w:t>
      </w:r>
      <w:r>
        <w:rPr>
          <w:rFonts w:hint="eastAsia" w:eastAsia="仿宋_GB2312"/>
          <w:color w:val="000000"/>
          <w:sz w:val="32"/>
          <w:szCs w:val="24"/>
          <w:highlight w:val="none"/>
        </w:rPr>
        <w:t>万元，其中：公务接待费15.9</w:t>
      </w:r>
      <w:r>
        <w:rPr>
          <w:rFonts w:hint="eastAsia" w:eastAsia="仿宋_GB2312"/>
          <w:color w:val="000000"/>
          <w:sz w:val="32"/>
          <w:szCs w:val="24"/>
          <w:highlight w:val="none"/>
          <w:lang w:val="en-US" w:eastAsia="zh-CN"/>
        </w:rPr>
        <w:t>2</w:t>
      </w:r>
      <w:r>
        <w:rPr>
          <w:rFonts w:hint="eastAsia" w:eastAsia="仿宋_GB2312"/>
          <w:color w:val="000000"/>
          <w:sz w:val="32"/>
          <w:szCs w:val="24"/>
          <w:highlight w:val="none"/>
        </w:rPr>
        <w:t>万元，因公出国（境）费0万元，公务用车购置及运行费</w:t>
      </w:r>
      <w:r>
        <w:rPr>
          <w:rFonts w:hint="eastAsia" w:eastAsia="仿宋_GB2312"/>
          <w:color w:val="000000"/>
          <w:sz w:val="32"/>
          <w:szCs w:val="24"/>
          <w:highlight w:val="none"/>
          <w:lang w:val="en-US" w:eastAsia="zh-CN"/>
        </w:rPr>
        <w:t>2.92</w:t>
      </w:r>
      <w:r>
        <w:rPr>
          <w:rFonts w:hint="eastAsia" w:eastAsia="仿宋_GB2312"/>
          <w:color w:val="000000"/>
          <w:sz w:val="32"/>
          <w:szCs w:val="24"/>
          <w:highlight w:val="none"/>
        </w:rPr>
        <w:t>万元（其中，公务用车购置费0万元，公务用车运行费</w:t>
      </w:r>
      <w:r>
        <w:rPr>
          <w:rFonts w:hint="eastAsia" w:eastAsia="仿宋_GB2312"/>
          <w:color w:val="000000"/>
          <w:sz w:val="32"/>
          <w:szCs w:val="24"/>
          <w:highlight w:val="none"/>
          <w:lang w:val="en-US" w:eastAsia="zh-CN"/>
        </w:rPr>
        <w:t>2.92</w:t>
      </w:r>
      <w:r>
        <w:rPr>
          <w:rFonts w:hint="eastAsia" w:eastAsia="仿宋_GB2312"/>
          <w:color w:val="000000"/>
          <w:sz w:val="32"/>
          <w:szCs w:val="24"/>
          <w:highlight w:val="none"/>
        </w:rPr>
        <w:t>万元），未超预算</w:t>
      </w:r>
      <w:r>
        <w:rPr>
          <w:rFonts w:hint="eastAsia" w:eastAsia="仿宋_GB2312"/>
          <w:color w:val="000000"/>
          <w:sz w:val="32"/>
          <w:szCs w:val="24"/>
          <w:highlight w:val="none"/>
          <w:lang w:eastAsia="zh-CN"/>
        </w:rPr>
        <w:t>。</w:t>
      </w:r>
    </w:p>
    <w:p>
      <w:pPr>
        <w:pStyle w:val="9"/>
        <w:spacing w:beforeLines="0" w:afterLines="0" w:line="570" w:lineRule="exact"/>
        <w:ind w:firstLine="640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二、一般公共预算支出情况</w:t>
      </w:r>
    </w:p>
    <w:p>
      <w:pPr>
        <w:pStyle w:val="9"/>
        <w:spacing w:beforeLines="0" w:afterLines="0" w:line="570" w:lineRule="exact"/>
        <w:ind w:firstLine="640"/>
        <w:outlineLvl w:val="1"/>
        <w:rPr>
          <w:rFonts w:hint="default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（一）基本支出情况</w:t>
      </w:r>
    </w:p>
    <w:p>
      <w:pPr>
        <w:pStyle w:val="9"/>
        <w:spacing w:beforeLines="0" w:afterLines="0" w:line="570" w:lineRule="exact"/>
        <w:ind w:firstLine="64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一般公共预算财政拨款支出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898.69</w:t>
      </w:r>
      <w:r>
        <w:rPr>
          <w:rFonts w:hint="eastAsia" w:ascii="Times New Roman" w:hAnsi="Times New Roman" w:eastAsia="仿宋_GB2312"/>
          <w:sz w:val="32"/>
          <w:szCs w:val="24"/>
        </w:rPr>
        <w:t>万元，其中，基本支出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460.6</w:t>
      </w:r>
      <w:r>
        <w:rPr>
          <w:rFonts w:hint="eastAsia" w:ascii="Times New Roman" w:hAnsi="Times New Roman" w:eastAsia="仿宋_GB2312"/>
          <w:sz w:val="32"/>
          <w:szCs w:val="24"/>
        </w:rPr>
        <w:t>万元，项目支出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438.09</w:t>
      </w:r>
      <w:r>
        <w:rPr>
          <w:rFonts w:hint="eastAsia" w:ascii="Times New Roman" w:hAnsi="Times New Roman" w:eastAsia="仿宋_GB2312"/>
          <w:sz w:val="32"/>
          <w:szCs w:val="24"/>
        </w:rPr>
        <w:t>万元。</w:t>
      </w:r>
    </w:p>
    <w:p>
      <w:pPr>
        <w:pStyle w:val="9"/>
        <w:spacing w:beforeLines="0" w:afterLines="0" w:line="570" w:lineRule="exact"/>
        <w:ind w:firstLine="64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（一）基本支出情况</w:t>
      </w:r>
    </w:p>
    <w:p>
      <w:pPr>
        <w:pStyle w:val="9"/>
        <w:spacing w:beforeLines="0" w:afterLines="0" w:line="570" w:lineRule="exact"/>
        <w:ind w:firstLine="64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本年度基本支出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460.6</w:t>
      </w:r>
      <w:r>
        <w:rPr>
          <w:rFonts w:hint="eastAsia" w:ascii="Times New Roman" w:hAnsi="Times New Roman" w:eastAsia="仿宋_GB2312"/>
          <w:sz w:val="32"/>
          <w:szCs w:val="24"/>
        </w:rPr>
        <w:t>万元，占总支出的比重为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51.25</w:t>
      </w:r>
      <w:r>
        <w:rPr>
          <w:rFonts w:hint="eastAsia" w:ascii="Times New Roman" w:hAnsi="Times New Roman" w:eastAsia="仿宋_GB2312"/>
          <w:sz w:val="32"/>
          <w:szCs w:val="24"/>
        </w:rPr>
        <w:t>%。其中，人员经费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417.83</w:t>
      </w:r>
      <w:r>
        <w:rPr>
          <w:rFonts w:hint="eastAsia" w:ascii="Times New Roman" w:hAnsi="Times New Roman" w:eastAsia="仿宋_GB2312"/>
          <w:sz w:val="32"/>
          <w:szCs w:val="24"/>
        </w:rPr>
        <w:t>万元，主要包括基本工资、津贴补贴、奖金、社会保障缴费、其他工资福利支出、离休费、退休费、抚恤金、奖励金、住房公积金、其他对个人和家庭的补助支出；公用经费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42.77</w:t>
      </w:r>
      <w:r>
        <w:rPr>
          <w:rFonts w:hint="eastAsia" w:ascii="Times New Roman" w:hAnsi="Times New Roman" w:eastAsia="仿宋_GB2312"/>
          <w:sz w:val="32"/>
          <w:szCs w:val="24"/>
        </w:rPr>
        <w:t>万元，主要包括办公费、印刷费、邮电费、差旅费、维修（护）费、会议费、培训费、公务接待费、劳务费、工会经费、福利费、公务用车运行维护费、其他交通费用、其他商品和服务支出。</w:t>
      </w:r>
    </w:p>
    <w:p>
      <w:pPr>
        <w:pStyle w:val="9"/>
        <w:spacing w:beforeLines="0" w:afterLines="0" w:line="570" w:lineRule="exact"/>
        <w:ind w:firstLine="640"/>
        <w:outlineLvl w:val="1"/>
        <w:rPr>
          <w:rFonts w:hint="default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（二）项目支出情况</w:t>
      </w:r>
    </w:p>
    <w:p>
      <w:pPr>
        <w:pStyle w:val="9"/>
        <w:spacing w:beforeLines="0" w:afterLines="0" w:line="570" w:lineRule="exact"/>
        <w:ind w:firstLine="64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本年度项目支出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438.09</w:t>
      </w:r>
      <w:r>
        <w:rPr>
          <w:rFonts w:hint="eastAsia" w:ascii="Times New Roman" w:hAnsi="Times New Roman" w:eastAsia="仿宋_GB2312"/>
          <w:sz w:val="32"/>
          <w:szCs w:val="24"/>
        </w:rPr>
        <w:t>万元，占总支出的比重为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48.75</w:t>
      </w:r>
      <w:r>
        <w:rPr>
          <w:rFonts w:hint="eastAsia" w:ascii="Times New Roman" w:hAnsi="Times New Roman" w:eastAsia="仿宋_GB2312"/>
          <w:sz w:val="32"/>
          <w:szCs w:val="24"/>
        </w:rPr>
        <w:t>%，是指单位为完成特定行政工作任务或事业发展目标而发生的支出，其中：1、一般公共服务支出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66.61</w:t>
      </w:r>
      <w:r>
        <w:rPr>
          <w:rFonts w:hint="eastAsia" w:ascii="Times New Roman" w:hAnsi="Times New Roman" w:eastAsia="仿宋_GB2312"/>
          <w:sz w:val="32"/>
          <w:szCs w:val="24"/>
        </w:rPr>
        <w:t>万元,  2、教育支出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2.52</w:t>
      </w:r>
      <w:r>
        <w:rPr>
          <w:rFonts w:hint="eastAsia" w:ascii="Times New Roman" w:hAnsi="Times New Roman" w:eastAsia="仿宋_GB2312"/>
          <w:sz w:val="32"/>
          <w:szCs w:val="24"/>
        </w:rPr>
        <w:t>万元,  3、文化旅游体育与传媒支出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4.6</w:t>
      </w:r>
      <w:r>
        <w:rPr>
          <w:rFonts w:hint="eastAsia" w:ascii="Times New Roman" w:hAnsi="Times New Roman" w:eastAsia="仿宋_GB2312"/>
          <w:sz w:val="32"/>
          <w:szCs w:val="24"/>
        </w:rPr>
        <w:t>万元，4、社会保障和就业支出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7.2</w:t>
      </w:r>
      <w:r>
        <w:rPr>
          <w:rFonts w:hint="eastAsia" w:ascii="Times New Roman" w:hAnsi="Times New Roman" w:eastAsia="仿宋_GB2312"/>
          <w:sz w:val="32"/>
          <w:szCs w:val="24"/>
        </w:rPr>
        <w:t>万元，5、节能环保支出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24"/>
        </w:rPr>
        <w:t>万元，6、农林水支出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347.16</w:t>
      </w:r>
      <w:r>
        <w:rPr>
          <w:rFonts w:hint="eastAsia" w:ascii="Times New Roman" w:hAnsi="Times New Roman" w:eastAsia="仿宋_GB2312"/>
          <w:sz w:val="32"/>
          <w:szCs w:val="24"/>
        </w:rPr>
        <w:t>万元，7、灾害防治及应急管理支出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24"/>
        </w:rPr>
        <w:t>万元。</w:t>
      </w:r>
    </w:p>
    <w:p>
      <w:pPr>
        <w:pStyle w:val="9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三、政府性基金预算支出情况。</w:t>
      </w:r>
    </w:p>
    <w:p>
      <w:pPr>
        <w:pStyle w:val="9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000000"/>
          <w:sz w:val="32"/>
          <w:szCs w:val="24"/>
        </w:rPr>
        <w:t>年政府性基金预算财政拨款收入决算数为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val="en-US" w:eastAsia="zh-CN"/>
        </w:rPr>
        <w:t>115</w:t>
      </w:r>
      <w:r>
        <w:rPr>
          <w:rFonts w:hint="eastAsia" w:ascii="Times New Roman" w:hAnsi="Times New Roman" w:eastAsia="仿宋_GB2312"/>
          <w:color w:val="000000"/>
          <w:sz w:val="32"/>
          <w:szCs w:val="24"/>
        </w:rPr>
        <w:t>万元，202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000000"/>
          <w:sz w:val="32"/>
          <w:szCs w:val="24"/>
        </w:rPr>
        <w:t>年政府性基金预算财政拨款支出决算数为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val="en-US" w:eastAsia="zh-CN"/>
        </w:rPr>
        <w:t>115</w:t>
      </w:r>
      <w:r>
        <w:rPr>
          <w:rFonts w:hint="eastAsia" w:ascii="Times New Roman" w:hAnsi="Times New Roman" w:eastAsia="仿宋_GB2312"/>
          <w:color w:val="000000"/>
          <w:sz w:val="32"/>
          <w:szCs w:val="24"/>
        </w:rPr>
        <w:t>万元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。</w:t>
      </w:r>
    </w:p>
    <w:p>
      <w:pPr>
        <w:pStyle w:val="9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四、国有资本经营预算支出情况。</w:t>
      </w:r>
    </w:p>
    <w:p>
      <w:pPr>
        <w:pStyle w:val="9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仿宋_GB2312"/>
          <w:sz w:val="32"/>
          <w:szCs w:val="24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我单位无国有资本经营预算支出情况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。</w:t>
      </w:r>
    </w:p>
    <w:p>
      <w:pPr>
        <w:pStyle w:val="9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五、社会保险基金预算支出情况。</w:t>
      </w:r>
    </w:p>
    <w:p>
      <w:pPr>
        <w:pStyle w:val="9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仿宋_GB2312"/>
          <w:sz w:val="32"/>
          <w:szCs w:val="24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我单位无社会保险基金预算支出情况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。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default" w:eastAsia="黑体"/>
          <w:sz w:val="32"/>
          <w:szCs w:val="24"/>
          <w:highlight w:val="none"/>
        </w:rPr>
      </w:pPr>
      <w:r>
        <w:rPr>
          <w:rFonts w:hint="eastAsia" w:eastAsia="黑体"/>
          <w:sz w:val="32"/>
          <w:szCs w:val="24"/>
          <w:highlight w:val="none"/>
        </w:rPr>
        <w:t>六、部门整体支出绩效情况</w:t>
      </w:r>
    </w:p>
    <w:p>
      <w:pPr>
        <w:spacing w:beforeLines="0" w:afterLines="0" w:line="570" w:lineRule="exact"/>
        <w:ind w:firstLine="645"/>
        <w:jc w:val="both"/>
        <w:rPr>
          <w:rFonts w:hint="eastAsia" w:eastAsia="仿宋_GB2312"/>
          <w:color w:val="000000"/>
          <w:sz w:val="32"/>
          <w:szCs w:val="24"/>
          <w:lang w:eastAsia="zh-CN"/>
        </w:rPr>
      </w:pPr>
      <w:r>
        <w:rPr>
          <w:rFonts w:hint="eastAsia" w:eastAsia="仿宋_GB2312"/>
          <w:color w:val="000000"/>
          <w:sz w:val="32"/>
          <w:szCs w:val="24"/>
        </w:rPr>
        <w:t>根据《部门整体支出绩效评价指标》评分，得分9</w:t>
      </w:r>
      <w:r>
        <w:rPr>
          <w:rFonts w:hint="eastAsia" w:eastAsia="仿宋_GB2312"/>
          <w:color w:val="000000"/>
          <w:sz w:val="32"/>
          <w:szCs w:val="24"/>
          <w:lang w:val="en-US" w:eastAsia="zh-CN"/>
        </w:rPr>
        <w:t>5</w:t>
      </w:r>
      <w:r>
        <w:rPr>
          <w:rFonts w:hint="eastAsia" w:eastAsia="仿宋_GB2312"/>
          <w:color w:val="000000"/>
          <w:sz w:val="32"/>
          <w:szCs w:val="24"/>
        </w:rPr>
        <w:t>分（详见附件2：部门整体支出绩效自评表</w:t>
      </w:r>
      <w:r>
        <w:rPr>
          <w:rFonts w:hint="eastAsia" w:eastAsia="仿宋_GB2312"/>
          <w:color w:val="000000"/>
          <w:sz w:val="32"/>
          <w:szCs w:val="24"/>
          <w:lang w:eastAsia="zh-CN"/>
        </w:rPr>
        <w:t>）。</w:t>
      </w:r>
    </w:p>
    <w:p>
      <w:pPr>
        <w:spacing w:beforeLines="0" w:afterLines="0" w:line="570" w:lineRule="exact"/>
        <w:ind w:firstLine="645"/>
        <w:jc w:val="both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eastAsia="仿宋_GB2312"/>
          <w:color w:val="000000"/>
          <w:sz w:val="32"/>
          <w:szCs w:val="24"/>
        </w:rPr>
        <w:t>（一）重点工作方面</w:t>
      </w:r>
    </w:p>
    <w:p>
      <w:pPr>
        <w:spacing w:beforeLines="0" w:afterLines="0" w:line="570" w:lineRule="exact"/>
        <w:ind w:firstLine="645"/>
        <w:jc w:val="both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eastAsia="仿宋_GB2312"/>
          <w:color w:val="000000"/>
          <w:sz w:val="32"/>
          <w:szCs w:val="24"/>
        </w:rPr>
        <w:t>1.乡村振兴稳步推进。一是巩固拓展脱贫攻坚成果。二是发展壮大村级集体经济。三是凝聚产业兴旺新动能。</w:t>
      </w:r>
    </w:p>
    <w:p>
      <w:pPr>
        <w:spacing w:beforeLines="0" w:afterLines="0" w:line="570" w:lineRule="exact"/>
        <w:ind w:firstLine="645"/>
        <w:jc w:val="both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eastAsia="仿宋_GB2312"/>
          <w:color w:val="000000"/>
          <w:sz w:val="32"/>
          <w:szCs w:val="24"/>
        </w:rPr>
        <w:t>2.基层党建固本强基。一是围绕一个中心——聚焦学习党的创新理论。二是夯实一个基础——锻造忠诚担当的党建队伍。三是服务一个根本——坚持为民服务的宗旨导向。</w:t>
      </w:r>
    </w:p>
    <w:p>
      <w:pPr>
        <w:spacing w:beforeLines="0" w:afterLines="0" w:line="570" w:lineRule="exact"/>
        <w:ind w:firstLine="645"/>
        <w:jc w:val="both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eastAsia="仿宋_GB2312"/>
          <w:color w:val="000000"/>
          <w:sz w:val="32"/>
          <w:szCs w:val="24"/>
        </w:rPr>
        <w:t>3.社会大局清泰平安。一是兜牢底线，民生民计加快改善。二是革故鼎新，综合治理深入推进。三是选拔锻造法治化工作队伍，深入排查化解矛盾纠纷。四是夯实行政执法基础，充实执法队伍力量。</w:t>
      </w:r>
    </w:p>
    <w:p>
      <w:pPr>
        <w:spacing w:beforeLines="0" w:afterLines="0" w:line="570" w:lineRule="exact"/>
        <w:ind w:firstLine="645"/>
        <w:jc w:val="both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eastAsia="仿宋_GB2312"/>
          <w:color w:val="000000"/>
          <w:sz w:val="32"/>
          <w:szCs w:val="24"/>
        </w:rPr>
        <w:t>（二）重点项目方面</w:t>
      </w:r>
    </w:p>
    <w:p>
      <w:pPr>
        <w:spacing w:beforeLines="0" w:afterLines="0" w:line="570" w:lineRule="exact"/>
        <w:ind w:firstLine="645"/>
        <w:jc w:val="both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eastAsia="仿宋_GB2312"/>
          <w:color w:val="000000"/>
          <w:sz w:val="32"/>
          <w:szCs w:val="24"/>
        </w:rPr>
        <w:t>1.公路建设方面，双牌县何家洞磨子岭通景公路全线完工:蔡里口至倪家洞风电场公路开工建设，预计年底完工；双江村、大宅村通村公路维修。进一步优化何家洞镇农村公路网，方便群众出行，推动风电场和磨子岭景区深度开发建设。</w:t>
      </w:r>
    </w:p>
    <w:p>
      <w:pPr>
        <w:spacing w:beforeLines="0" w:afterLines="0" w:line="570" w:lineRule="exact"/>
        <w:ind w:firstLine="645"/>
        <w:jc w:val="both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eastAsia="仿宋_GB2312"/>
          <w:color w:val="000000"/>
          <w:sz w:val="32"/>
          <w:szCs w:val="24"/>
        </w:rPr>
        <w:t>2.清洁能源项目建设上，何家洞风电场、柴君山风电场、茶五风电场、倪家洞二期、打鼓坪二期风电场开工建设。</w:t>
      </w:r>
    </w:p>
    <w:p>
      <w:pPr>
        <w:spacing w:beforeLines="0" w:afterLines="0" w:line="570" w:lineRule="exact"/>
        <w:ind w:firstLine="645"/>
        <w:jc w:val="both"/>
        <w:rPr>
          <w:rFonts w:hint="default" w:ascii="Times New Roman" w:hAnsi="Times New Roman" w:eastAsia="仿宋_GB2312" w:cstheme="minorBidi"/>
          <w:color w:val="000000"/>
          <w:kern w:val="2"/>
          <w:sz w:val="32"/>
          <w:szCs w:val="24"/>
          <w:lang w:val="en-US" w:eastAsia="zh-CN" w:bidi="ar-SA"/>
        </w:rPr>
      </w:pPr>
      <w:r>
        <w:rPr>
          <w:rFonts w:hint="eastAsia" w:eastAsia="仿宋_GB2312"/>
          <w:color w:val="000000"/>
          <w:sz w:val="32"/>
          <w:szCs w:val="24"/>
        </w:rPr>
        <w:t>3.竹产业发展上，今年楠竹丰产林培育100亩，林道路建设10公里，多村联建投资500万的竹木加工厂已投产。</w:t>
      </w:r>
    </w:p>
    <w:p>
      <w:pPr>
        <w:pStyle w:val="9"/>
        <w:spacing w:beforeLines="0" w:afterLines="0" w:line="570" w:lineRule="exact"/>
        <w:ind w:firstLine="640"/>
        <w:jc w:val="left"/>
        <w:outlineLvl w:val="0"/>
        <w:rPr>
          <w:rFonts w:hint="eastAsia" w:eastAsia="仿宋_GB2312"/>
          <w:spacing w:val="-6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七、存在的问题及原因分析</w:t>
      </w:r>
    </w:p>
    <w:p>
      <w:pPr>
        <w:spacing w:beforeLines="0" w:afterLines="0" w:line="570" w:lineRule="exact"/>
        <w:ind w:firstLine="616" w:firstLineChars="200"/>
        <w:jc w:val="left"/>
        <w:rPr>
          <w:rFonts w:hint="eastAsia" w:eastAsia="仿宋_GB2312"/>
          <w:spacing w:val="-6"/>
          <w:sz w:val="32"/>
          <w:szCs w:val="24"/>
        </w:rPr>
      </w:pPr>
      <w:r>
        <w:rPr>
          <w:rFonts w:hint="eastAsia" w:eastAsia="仿宋_GB2312"/>
          <w:spacing w:val="-6"/>
          <w:sz w:val="32"/>
          <w:szCs w:val="24"/>
        </w:rPr>
        <w:t>1、预算执行率率有待提高。由于预算项目未实施或未及时报账导致年末预算资金未形成支出。</w:t>
      </w:r>
    </w:p>
    <w:p>
      <w:pPr>
        <w:spacing w:beforeLines="0" w:afterLines="0" w:line="570" w:lineRule="exact"/>
        <w:ind w:firstLine="616" w:firstLineChars="200"/>
        <w:jc w:val="left"/>
        <w:rPr>
          <w:rFonts w:hint="eastAsia" w:eastAsia="仿宋_GB2312"/>
          <w:spacing w:val="-6"/>
          <w:sz w:val="32"/>
          <w:szCs w:val="24"/>
        </w:rPr>
      </w:pPr>
      <w:r>
        <w:rPr>
          <w:rFonts w:hint="eastAsia" w:eastAsia="仿宋_GB2312"/>
          <w:spacing w:val="-6"/>
          <w:sz w:val="32"/>
          <w:szCs w:val="24"/>
        </w:rPr>
        <w:t>2、在实际经费列支中，未严格按照预算科目及专项项目进行列支。主要是由于乡镇业务的复杂性，一些资金的预算编制不能完全明确和细化，预算编制的合理性需要提高。</w:t>
      </w:r>
    </w:p>
    <w:p>
      <w:pPr>
        <w:spacing w:beforeLines="0" w:afterLines="0" w:line="570" w:lineRule="exact"/>
        <w:ind w:firstLine="616" w:firstLineChars="200"/>
        <w:jc w:val="left"/>
        <w:rPr>
          <w:rFonts w:hint="default"/>
        </w:rPr>
      </w:pPr>
      <w:r>
        <w:rPr>
          <w:rFonts w:hint="eastAsia" w:eastAsia="仿宋_GB2312"/>
          <w:spacing w:val="-6"/>
          <w:sz w:val="32"/>
          <w:szCs w:val="24"/>
        </w:rPr>
        <w:t>3、财政资金缺口较大。人员严重缺编与工作任务繁重矛盾日益突出。</w:t>
      </w:r>
    </w:p>
    <w:p>
      <w:pPr>
        <w:spacing w:beforeLines="0" w:afterLines="0" w:line="570" w:lineRule="exact"/>
        <w:ind w:firstLine="640" w:firstLineChars="200"/>
        <w:jc w:val="left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八、下一步改进措施</w:t>
      </w:r>
    </w:p>
    <w:p>
      <w:pPr>
        <w:spacing w:beforeLines="0" w:afterLines="0" w:line="570" w:lineRule="exact"/>
        <w:ind w:firstLine="616" w:firstLineChars="200"/>
        <w:jc w:val="left"/>
        <w:rPr>
          <w:rFonts w:hint="default" w:ascii="Times New Roman" w:hAnsi="Times New Roman" w:eastAsia="仿宋_GB2312"/>
          <w:spacing w:val="-6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spacing w:val="-6"/>
          <w:sz w:val="32"/>
          <w:szCs w:val="24"/>
          <w:lang w:val="en-US" w:eastAsia="zh-CN"/>
        </w:rPr>
        <w:t>1、</w:t>
      </w:r>
      <w:r>
        <w:rPr>
          <w:rFonts w:hint="default" w:ascii="Times New Roman" w:hAnsi="Times New Roman" w:eastAsia="仿宋_GB2312"/>
          <w:spacing w:val="-6"/>
          <w:sz w:val="32"/>
          <w:szCs w:val="24"/>
          <w:lang w:val="en-US" w:eastAsia="zh-CN"/>
        </w:rPr>
        <w:t>细化预算编制工作。进一步加强内部预算管理意识，严格按照预算编制的相关制度和要求进行预算编制，提高预算编制科学性和合理性，严格执行预算。加强预算编制的前瞻性，按照新《预算法》及其实施条例的相关规定发展规划，结合上一年度预算执行情况和本年度预算收支变化因素，科学、合理地编制本年预算草案，提高预算编制科学性和合理性，优化资金结构。增强预算编制的全面性、准确性，强化预算执行的严肃性。</w:t>
      </w:r>
    </w:p>
    <w:p>
      <w:pPr>
        <w:spacing w:beforeLines="0" w:afterLines="0" w:line="570" w:lineRule="exact"/>
        <w:ind w:firstLine="616" w:firstLineChars="200"/>
        <w:jc w:val="left"/>
        <w:rPr>
          <w:rFonts w:hint="default" w:ascii="Times New Roman" w:hAnsi="Times New Roman" w:eastAsia="仿宋_GB2312"/>
          <w:spacing w:val="-6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spacing w:val="-6"/>
          <w:sz w:val="32"/>
          <w:szCs w:val="24"/>
          <w:lang w:val="en-US" w:eastAsia="zh-CN"/>
        </w:rPr>
        <w:t>2、</w:t>
      </w:r>
      <w:r>
        <w:rPr>
          <w:rFonts w:hint="default" w:ascii="Times New Roman" w:hAnsi="Times New Roman" w:eastAsia="仿宋_GB2312"/>
          <w:spacing w:val="-6"/>
          <w:sz w:val="32"/>
          <w:szCs w:val="24"/>
          <w:lang w:val="en-US" w:eastAsia="zh-CN"/>
        </w:rPr>
        <w:t>严格编制政府采购年初预算和计划，规范各类资产的购置审批制度、资产采购制度、使用管理制度、资产处置和报废审批制度、资产管理岗位职责制度等。严格控制“三公”经费的规模和比例，把关“三公”经费支出的审核、审批，进一步细化“三公”经费的管理，合理压缩“三公”经费支出。</w:t>
      </w:r>
    </w:p>
    <w:p>
      <w:pPr>
        <w:spacing w:beforeLines="0" w:afterLines="0" w:line="570" w:lineRule="exact"/>
        <w:ind w:firstLine="616" w:firstLineChars="200"/>
        <w:jc w:val="left"/>
        <w:rPr>
          <w:rFonts w:hint="default" w:ascii="Times New Roman" w:hAnsi="Times New Roman" w:eastAsia="仿宋_GB2312"/>
          <w:spacing w:val="-6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spacing w:val="-6"/>
          <w:sz w:val="32"/>
          <w:szCs w:val="24"/>
          <w:lang w:val="en-US" w:eastAsia="zh-CN"/>
        </w:rPr>
        <w:t>3、</w:t>
      </w:r>
      <w:r>
        <w:rPr>
          <w:rFonts w:hint="default" w:ascii="Times New Roman" w:hAnsi="Times New Roman" w:eastAsia="仿宋_GB2312"/>
          <w:spacing w:val="-6"/>
          <w:sz w:val="32"/>
          <w:szCs w:val="24"/>
          <w:lang w:val="en-US" w:eastAsia="zh-CN"/>
        </w:rPr>
        <w:t>加强财务管理，严格财务审核。有费用报账支付时，按照预算规定的费用项目和用途进行资金使用审核、列报支付、财务核算，杜绝超支现象的发生。加强财务人员的学习培训。</w:t>
      </w:r>
    </w:p>
    <w:p>
      <w:pPr>
        <w:spacing w:beforeLines="0" w:afterLines="0" w:line="570" w:lineRule="exact"/>
        <w:ind w:firstLine="616" w:firstLineChars="200"/>
        <w:jc w:val="left"/>
        <w:rPr>
          <w:rFonts w:hint="default" w:ascii="Times New Roman" w:hAnsi="Times New Roman" w:eastAsia="仿宋_GB2312"/>
          <w:spacing w:val="-6"/>
          <w:sz w:val="32"/>
          <w:szCs w:val="24"/>
        </w:rPr>
      </w:pPr>
      <w:r>
        <w:rPr>
          <w:rFonts w:hint="eastAsia" w:ascii="Times New Roman" w:hAnsi="Times New Roman" w:eastAsia="仿宋_GB2312"/>
          <w:spacing w:val="-6"/>
          <w:sz w:val="32"/>
          <w:szCs w:val="24"/>
          <w:lang w:val="en-US" w:eastAsia="zh-CN"/>
        </w:rPr>
        <w:t>4、</w:t>
      </w:r>
      <w:r>
        <w:rPr>
          <w:rFonts w:hint="default" w:ascii="Times New Roman" w:hAnsi="Times New Roman" w:eastAsia="仿宋_GB2312"/>
          <w:spacing w:val="-6"/>
          <w:sz w:val="32"/>
          <w:szCs w:val="24"/>
          <w:lang w:val="en-US" w:eastAsia="zh-CN"/>
        </w:rPr>
        <w:t>加强项目开展进度的跟踪，开展项目绩效评价，确保项目绩效目标的完成。完善制度管理，严格控制支出，严格执行中央、省、市有关文件精神</w:t>
      </w:r>
      <w:r>
        <w:rPr>
          <w:rFonts w:hint="eastAsia" w:ascii="Times New Roman" w:hAnsi="Times New Roman" w:eastAsia="仿宋_GB2312"/>
          <w:spacing w:val="-6"/>
          <w:sz w:val="32"/>
          <w:szCs w:val="24"/>
          <w:lang w:val="en-US" w:eastAsia="zh-CN"/>
        </w:rPr>
        <w:t>。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九、部门整体支出绩效自评结果拟应用和公开情况</w:t>
      </w:r>
    </w:p>
    <w:p>
      <w:pPr>
        <w:spacing w:beforeLines="0" w:afterLines="0" w:line="570" w:lineRule="exact"/>
        <w:ind w:firstLine="616" w:firstLineChars="200"/>
        <w:jc w:val="left"/>
        <w:rPr>
          <w:rFonts w:hint="default" w:ascii="Times New Roman" w:hAnsi="Times New Roman" w:eastAsia="仿宋_GB2312"/>
          <w:spacing w:val="-6"/>
          <w:sz w:val="32"/>
          <w:szCs w:val="24"/>
          <w:lang w:val="en-US" w:eastAsia="zh-CN"/>
        </w:rPr>
      </w:pPr>
      <w:r>
        <w:rPr>
          <w:rFonts w:hint="default" w:ascii="Times New Roman" w:hAnsi="Times New Roman" w:eastAsia="仿宋_GB2312"/>
          <w:spacing w:val="-6"/>
          <w:sz w:val="32"/>
          <w:szCs w:val="24"/>
          <w:lang w:val="en-US" w:eastAsia="zh-CN"/>
        </w:rPr>
        <w:t>根据部门整体支出绩效评价指标体系，我单位202</w:t>
      </w:r>
      <w:r>
        <w:rPr>
          <w:rFonts w:hint="eastAsia" w:ascii="Times New Roman" w:hAnsi="Times New Roman" w:eastAsia="仿宋_GB2312"/>
          <w:spacing w:val="-6"/>
          <w:sz w:val="32"/>
          <w:szCs w:val="24"/>
          <w:lang w:val="en-US" w:eastAsia="zh-CN"/>
        </w:rPr>
        <w:t>3</w:t>
      </w:r>
      <w:r>
        <w:rPr>
          <w:rFonts w:hint="default" w:ascii="Times New Roman" w:hAnsi="Times New Roman" w:eastAsia="仿宋_GB2312"/>
          <w:spacing w:val="-6"/>
          <w:sz w:val="32"/>
          <w:szCs w:val="24"/>
          <w:lang w:val="en-US" w:eastAsia="zh-CN"/>
        </w:rPr>
        <w:t>年度评价得分为</w:t>
      </w:r>
      <w:r>
        <w:rPr>
          <w:rFonts w:hint="eastAsia" w:ascii="Times New Roman" w:hAnsi="Times New Roman" w:eastAsia="仿宋_GB2312"/>
          <w:spacing w:val="-6"/>
          <w:sz w:val="32"/>
          <w:szCs w:val="24"/>
          <w:lang w:val="en-US" w:eastAsia="zh-CN"/>
        </w:rPr>
        <w:t>95</w:t>
      </w:r>
      <w:r>
        <w:rPr>
          <w:rFonts w:hint="default" w:ascii="Times New Roman" w:hAnsi="Times New Roman" w:eastAsia="仿宋_GB2312"/>
          <w:spacing w:val="-6"/>
          <w:sz w:val="32"/>
          <w:szCs w:val="24"/>
          <w:lang w:val="en-US" w:eastAsia="zh-CN"/>
        </w:rPr>
        <w:t>分。部门决算和部门预算编报通过县财政局审核批示，下达文件后，按照预决算公开的要求在政府网上和财政局网站进行了公示，增强了预决算执行情况的透明度</w:t>
      </w:r>
      <w:r>
        <w:rPr>
          <w:rFonts w:hint="eastAsia" w:ascii="Times New Roman" w:hAnsi="Times New Roman" w:eastAsia="仿宋_GB2312"/>
          <w:spacing w:val="-6"/>
          <w:sz w:val="32"/>
          <w:szCs w:val="24"/>
          <w:lang w:val="en-US" w:eastAsia="zh-CN"/>
        </w:rPr>
        <w:t>。</w:t>
      </w:r>
    </w:p>
    <w:p>
      <w:pPr>
        <w:spacing w:beforeLines="0" w:afterLines="0" w:line="570" w:lineRule="exact"/>
        <w:ind w:firstLine="645"/>
        <w:jc w:val="left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其他需要说明的情况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theme="minorBidi"/>
          <w:spacing w:val="-6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/>
          <w:color w:val="000000"/>
          <w:sz w:val="32"/>
          <w:szCs w:val="24"/>
        </w:rPr>
        <w:t>无</w:t>
      </w:r>
    </w:p>
    <w:p>
      <w:pPr>
        <w:spacing w:beforeLines="0" w:afterLines="0" w:line="570" w:lineRule="exact"/>
        <w:ind w:firstLine="640" w:firstLineChars="200"/>
        <w:jc w:val="both"/>
        <w:rPr>
          <w:rFonts w:hint="default" w:ascii="Times New Roman" w:hAnsi="Times New Roman" w:eastAsia="仿宋_GB2312"/>
          <w:color w:val="000000"/>
          <w:sz w:val="32"/>
          <w:szCs w:val="24"/>
        </w:rPr>
      </w:pPr>
    </w:p>
    <w:p>
      <w:pPr>
        <w:spacing w:beforeLines="0" w:afterLines="0" w:line="570" w:lineRule="exact"/>
        <w:ind w:firstLine="640" w:firstLineChars="200"/>
        <w:jc w:val="both"/>
        <w:rPr>
          <w:rFonts w:hint="default" w:ascii="Times New Roman" w:hAnsi="Times New Roman" w:eastAsia="仿宋_GB2312"/>
          <w:color w:val="000000"/>
          <w:sz w:val="32"/>
          <w:szCs w:val="24"/>
        </w:rPr>
      </w:pPr>
      <w:r>
        <w:rPr>
          <w:rFonts w:hint="default" w:ascii="Times New Roman" w:hAnsi="Times New Roman" w:eastAsia="仿宋_GB2312"/>
          <w:color w:val="000000"/>
          <w:sz w:val="32"/>
          <w:szCs w:val="24"/>
        </w:rPr>
        <w:t>附件：1、部门整体支出绩效评价基础数据表</w:t>
      </w:r>
    </w:p>
    <w:p>
      <w:pPr>
        <w:spacing w:beforeLines="0" w:afterLines="0" w:line="570" w:lineRule="exact"/>
        <w:ind w:firstLine="1600" w:firstLineChars="500"/>
        <w:jc w:val="both"/>
        <w:rPr>
          <w:rFonts w:hint="default" w:ascii="Times New Roman" w:hAnsi="Times New Roman" w:eastAsia="仿宋_GB2312"/>
          <w:color w:val="000000"/>
          <w:sz w:val="32"/>
          <w:szCs w:val="24"/>
        </w:rPr>
      </w:pPr>
      <w:r>
        <w:rPr>
          <w:rFonts w:hint="default" w:ascii="Times New Roman" w:hAnsi="Times New Roman" w:eastAsia="仿宋_GB2312"/>
          <w:color w:val="000000"/>
          <w:sz w:val="32"/>
          <w:szCs w:val="24"/>
        </w:rPr>
        <w:t>2、部门整体支出绩效自评表</w:t>
      </w:r>
    </w:p>
    <w:p>
      <w:pPr>
        <w:spacing w:beforeLines="0" w:afterLines="0" w:line="570" w:lineRule="exact"/>
        <w:ind w:firstLine="1600" w:firstLineChars="500"/>
        <w:jc w:val="both"/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</w:pPr>
      <w:r>
        <w:rPr>
          <w:rFonts w:hint="default" w:ascii="Times New Roman" w:hAnsi="Times New Roman" w:eastAsia="仿宋_GB2312"/>
          <w:color w:val="000000"/>
          <w:sz w:val="32"/>
          <w:szCs w:val="24"/>
        </w:rPr>
        <w:t>3、项目支出绩效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自评报告</w:t>
      </w:r>
    </w:p>
    <w:p>
      <w:pPr>
        <w:numPr>
          <w:ilvl w:val="0"/>
          <w:numId w:val="3"/>
        </w:numPr>
        <w:spacing w:beforeLines="0" w:afterLines="0" w:line="570" w:lineRule="exact"/>
        <w:ind w:firstLine="1600" w:firstLineChars="500"/>
        <w:jc w:val="both"/>
        <w:rPr>
          <w:rFonts w:hint="default" w:ascii="Times New Roman" w:hAnsi="Times New Roman" w:eastAsia="仿宋_GB2312"/>
          <w:color w:val="000000"/>
          <w:sz w:val="32"/>
          <w:szCs w:val="24"/>
        </w:rPr>
      </w:pPr>
      <w:r>
        <w:rPr>
          <w:rFonts w:hint="default" w:ascii="Times New Roman" w:hAnsi="Times New Roman" w:eastAsia="仿宋_GB2312"/>
          <w:color w:val="000000"/>
          <w:sz w:val="32"/>
          <w:szCs w:val="24"/>
        </w:rPr>
        <w:t>项目支出绩效自评表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1600" w:firstLineChars="5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  <w:lang w:val="en-US" w:eastAsia="zh-CN"/>
        </w:rPr>
        <w:t>5、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预算绩效管理工作负责人名册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年度部门整体支出绩效评价基础数据表</w:t>
      </w:r>
    </w:p>
    <w:tbl>
      <w:tblPr>
        <w:tblStyle w:val="6"/>
        <w:tblW w:w="96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65.31%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theme="minorBidi"/>
                <w:b w:val="0"/>
                <w:bCs w:val="0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kern w:val="0"/>
                <w:lang w:val="en-US" w:eastAsia="zh-CN"/>
              </w:rPr>
              <w:t>391.69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405.52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460.6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theme="minorBidi"/>
                <w:b w:val="0"/>
                <w:bCs w:val="0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kern w:val="0"/>
                <w:lang w:val="en-US" w:eastAsia="zh-CN"/>
              </w:rPr>
              <w:t>71.59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40.4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42.77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theme="minorBidi"/>
                <w:b w:val="0"/>
                <w:bCs w:val="0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kern w:val="0"/>
                <w:lang w:val="en-US" w:eastAsia="zh-CN"/>
              </w:rPr>
              <w:t>3.65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theme="minorBidi"/>
                <w:b w:val="0"/>
                <w:bCs w:val="0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kern w:val="0"/>
                <w:lang w:val="en-US" w:eastAsia="zh-CN"/>
              </w:rPr>
              <w:t>10.94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3.85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theme="minorBidi"/>
                <w:b w:val="0"/>
                <w:bCs w:val="0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kern w:val="0"/>
                <w:lang w:val="en-US" w:eastAsia="zh-CN"/>
              </w:rPr>
              <w:t>4.63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0.25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theme="minorBidi"/>
                <w:b w:val="0"/>
                <w:bCs w:val="0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kern w:val="0"/>
                <w:lang w:val="en-US" w:eastAsia="zh-CN"/>
              </w:rPr>
              <w:t>18.99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18.9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18.84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theme="minorBidi"/>
                <w:b w:val="0"/>
                <w:bCs w:val="0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kern w:val="0"/>
                <w:lang w:val="en-US" w:eastAsia="zh-CN"/>
              </w:rPr>
              <w:t>3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2.95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2.92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3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2.95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2.92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15.99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15.95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15.92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1297.55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2781.8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1161.01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单位业务经费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48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41.49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湘能公司小水电建设稻田补偿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何家洞镇易地搬迁集中安置点饮水项目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26.4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21.51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何家洞镇省级边界公路改扩建以工代赈示范项目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274.45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何家洞镇水利救灾抗旱项目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18.6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17.94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自然灾害资金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392.74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137.31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河道保洁经费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西蔡公路（永江至何家洞段）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133.7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130.71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倪家洞风电场道路征地经费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57.23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基层党政机关维修维护项目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村级组织服务群众专项经费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改厕项目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28.67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乡村振兴衔接资金项目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三支一扶人员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21.37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村级经费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280.06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139.66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三馆一站免费开放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6.6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磨子岭通景公路改建工程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900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公益性岗位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11.63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交通局项目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就业专项资金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7.93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垃圾处理费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2.7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农业生产救灾资金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人居环境整治项目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双江村风电项目征地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退休人员补贴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移民项目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政务中心维修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59.6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246.87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460.6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460.6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楼堂馆所控制情况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批复规模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压缩一般性支出　</w:t>
            </w:r>
          </w:p>
        </w:tc>
      </w:tr>
    </w:tbl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说明：“项目支出”需要填报基本支出以外的所有项目支出情况，“公用经费”填报基本支出中的一般商品和服务支出。</w:t>
      </w:r>
    </w:p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eastAsia="黑体"/>
          <w:sz w:val="32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填表人：刘巧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2024.4.12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联系电话：7890001  单位负责人签字：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年度部门整体支出绩效自评表</w:t>
      </w:r>
    </w:p>
    <w:tbl>
      <w:tblPr>
        <w:tblStyle w:val="6"/>
        <w:tblW w:w="931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1078"/>
        <w:gridCol w:w="68"/>
        <w:gridCol w:w="1078"/>
        <w:gridCol w:w="1202"/>
        <w:gridCol w:w="718"/>
        <w:gridCol w:w="884"/>
        <w:gridCol w:w="14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0" w:hRule="atLeast"/>
          <w:jc w:val="center"/>
        </w:trPr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级预算部门名称</w:t>
            </w:r>
          </w:p>
        </w:tc>
        <w:tc>
          <w:tcPr>
            <w:tcW w:w="8349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双牌县何家洞镇人民政府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年度预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算申请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年初预算数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全年预算数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全年执行数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3187.32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1621.61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1621.61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50.88%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按收入性质分：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1621.61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按支出性质分：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1621.61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其中：  一般公共预算：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898.69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其中：基本支出：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460.6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960" w:firstLineChars="4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政府性基金拨款：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1161.01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纳入专户管理的非税收入拨款：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1680" w:firstLineChars="7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607.92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80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保障人员支出和单位正常运转；认真贯彻执行党的基本路线、方针政策和上级组织的决议、指示、命令；对本镇的重大问题进行决策，研究制定全镇经济、社会和文化发展规划。　　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保障人员支出和单位正常运转；认真贯彻执行党的基本路线、方针政策和上级组织的决议、指示、命令；对本镇的重大问题进行决策，研究制定全镇经济、社会和文化发展规划。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年度指标值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实际完成值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产出指标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(50分)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重点工作任务完成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党建工作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color w:val="00000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color w:val="00000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乡村振兴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color w:val="00000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color w:val="00000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基层治理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color w:val="00000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color w:val="00000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民生安全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color w:val="00000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color w:val="00000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履职目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标实现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目标完成度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color w:val="00000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color w:val="00000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效益指标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0分）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color w:val="00000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color w:val="00000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满意度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color w:val="00000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color w:val="00000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6266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eastAsia="黑体"/>
          <w:color w:val="000000"/>
          <w:sz w:val="32"/>
          <w:szCs w:val="24"/>
          <w:lang w:val="en-US" w:eastAsia="zh-CN"/>
        </w:rPr>
      </w:pPr>
      <w:r>
        <w:rPr>
          <w:rFonts w:hint="eastAsia" w:eastAsia="仿宋_GB2312"/>
          <w:sz w:val="22"/>
          <w:szCs w:val="24"/>
        </w:rPr>
        <w:t xml:space="preserve">填表人：刘巧  </w:t>
      </w:r>
      <w:r>
        <w:rPr>
          <w:rFonts w:hint="eastAsia" w:eastAsia="仿宋_GB2312"/>
          <w:sz w:val="22"/>
          <w:szCs w:val="24"/>
          <w:lang w:val="en-US" w:eastAsia="zh-CN"/>
        </w:rPr>
        <w:t xml:space="preserve"> </w:t>
      </w:r>
      <w:r>
        <w:rPr>
          <w:rFonts w:hint="eastAsia" w:eastAsia="仿宋_GB2312"/>
          <w:sz w:val="22"/>
          <w:szCs w:val="24"/>
        </w:rPr>
        <w:t xml:space="preserve">填报日期：2024.4.12  </w:t>
      </w:r>
      <w:r>
        <w:rPr>
          <w:rFonts w:hint="eastAsia" w:eastAsia="仿宋_GB2312"/>
          <w:sz w:val="22"/>
          <w:szCs w:val="24"/>
          <w:lang w:val="en-US" w:eastAsia="zh-CN"/>
        </w:rPr>
        <w:t xml:space="preserve"> </w:t>
      </w:r>
      <w:r>
        <w:rPr>
          <w:rFonts w:hint="eastAsia" w:eastAsia="仿宋_GB2312"/>
          <w:sz w:val="22"/>
          <w:szCs w:val="24"/>
        </w:rPr>
        <w:t>联系电话：7890001   单位负责人签字：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1161.01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何家洞镇人民政府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保障镇政府的各项工作开展，不断提升何家洞镇政府服务水平。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良好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因通景公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路与以工代赈示范项目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资金拨付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进度慢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，项目支出总体预算执行率不高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及时调整预算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无</w:t>
            </w: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填表人：刘巧  填报日期：2024.4.12  联系电话：7890001  单位负责人签字：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6"/>
        <w:tblW w:w="945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项目支出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何家洞镇人民政府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何家洞镇人民政府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2781.8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1161.01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1161.01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50.88%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1226.46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553.08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553.08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2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1555.34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607.93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607.93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保障镇政府的各项工作开展，不断提升何家洞镇政府服务水平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保障镇政府的各项工作开展，不断提升何家洞镇政府服务水平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促进经济发展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良好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9" w:hRule="exac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促进社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会发展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良好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生态环境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促进可持续发展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良好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完成支出总额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1161.01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1161.01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资金使用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合格率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完成支出及时率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效益指标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促进经济发展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良好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促进可持续发展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良好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促进社会发展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良好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社会公众或服务对象满意度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≥9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≥9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default" w:eastAsia="仿宋_GB2312"/>
          <w:sz w:val="22"/>
          <w:szCs w:val="24"/>
        </w:rPr>
        <w:sectPr>
          <w:footerReference r:id="rId3" w:type="default"/>
          <w:footerReference r:id="rId4" w:type="even"/>
          <w:pgSz w:w="11905" w:h="16837"/>
          <w:pgMar w:top="1440" w:right="1701" w:bottom="1440" w:left="1701" w:header="851" w:footer="1474" w:gutter="0"/>
          <w:lnNumType w:countBy="0" w:distance="360"/>
          <w:pgNumType w:fmt="numberInDash" w:start="1"/>
          <w:cols w:space="0" w:num="1"/>
          <w:rtlGutter w:val="0"/>
          <w:docGrid w:type="lines" w:linePitch="636" w:charSpace="0"/>
        </w:sect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填表人：刘巧  填报日期：2024.4.12  联系电话：7890001  单位负责人签字：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IT1Yvb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gUL1b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5B19AA"/>
    <w:multiLevelType w:val="singleLevel"/>
    <w:tmpl w:val="805B19AA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93496BCC"/>
    <w:multiLevelType w:val="singleLevel"/>
    <w:tmpl w:val="93496BC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MmUwMGM5Y2E1ZjZlMzQyZjE1ZGVhOWQ0OGM0NjgifQ=="/>
  </w:docVars>
  <w:rsids>
    <w:rsidRoot w:val="00172A27"/>
    <w:rsid w:val="03925EC8"/>
    <w:rsid w:val="0CC579C8"/>
    <w:rsid w:val="0CCE5073"/>
    <w:rsid w:val="0D727964"/>
    <w:rsid w:val="101F3C57"/>
    <w:rsid w:val="105E064F"/>
    <w:rsid w:val="125F1BA5"/>
    <w:rsid w:val="154B3473"/>
    <w:rsid w:val="15B02F86"/>
    <w:rsid w:val="18411058"/>
    <w:rsid w:val="187575CA"/>
    <w:rsid w:val="1B196047"/>
    <w:rsid w:val="1BCE59A7"/>
    <w:rsid w:val="1D5E5630"/>
    <w:rsid w:val="1F9C1D8C"/>
    <w:rsid w:val="20A66CB5"/>
    <w:rsid w:val="20BA3D5C"/>
    <w:rsid w:val="20FE29CD"/>
    <w:rsid w:val="213827F6"/>
    <w:rsid w:val="24756501"/>
    <w:rsid w:val="25485291"/>
    <w:rsid w:val="29A1133C"/>
    <w:rsid w:val="2AF82401"/>
    <w:rsid w:val="2D2E128C"/>
    <w:rsid w:val="31EF3498"/>
    <w:rsid w:val="33457B5A"/>
    <w:rsid w:val="33EA0D37"/>
    <w:rsid w:val="35766EE6"/>
    <w:rsid w:val="3B433CCB"/>
    <w:rsid w:val="3DFB432B"/>
    <w:rsid w:val="415D4F61"/>
    <w:rsid w:val="41A60F90"/>
    <w:rsid w:val="437042B4"/>
    <w:rsid w:val="43BF21DD"/>
    <w:rsid w:val="43D25C86"/>
    <w:rsid w:val="4554455C"/>
    <w:rsid w:val="47FF7E2A"/>
    <w:rsid w:val="4A7E5437"/>
    <w:rsid w:val="4B490F32"/>
    <w:rsid w:val="4B564457"/>
    <w:rsid w:val="4C575977"/>
    <w:rsid w:val="4DF30F3A"/>
    <w:rsid w:val="4E8B7C40"/>
    <w:rsid w:val="4F1637A4"/>
    <w:rsid w:val="500F1BD2"/>
    <w:rsid w:val="51C40746"/>
    <w:rsid w:val="543E6CC0"/>
    <w:rsid w:val="55412274"/>
    <w:rsid w:val="55C03679"/>
    <w:rsid w:val="57C446E9"/>
    <w:rsid w:val="584C5433"/>
    <w:rsid w:val="58820FB8"/>
    <w:rsid w:val="59272EA9"/>
    <w:rsid w:val="5ABA52A9"/>
    <w:rsid w:val="5C8E01AF"/>
    <w:rsid w:val="62BE6D8B"/>
    <w:rsid w:val="64E742EF"/>
    <w:rsid w:val="684B0AD7"/>
    <w:rsid w:val="6A890ABD"/>
    <w:rsid w:val="6E351362"/>
    <w:rsid w:val="71FC523D"/>
    <w:rsid w:val="75073918"/>
    <w:rsid w:val="771A18F7"/>
    <w:rsid w:val="7884438F"/>
    <w:rsid w:val="7E991F23"/>
    <w:rsid w:val="7EB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5">
    <w:name w:val="Normal (Web)"/>
    <w:basedOn w:val="1"/>
    <w:unhideWhenUsed/>
    <w:qFormat/>
    <w:uiPriority w:val="0"/>
    <w:pPr>
      <w:spacing w:beforeLines="0" w:beforeAutospacing="1" w:afterLines="0" w:afterAutospacing="1"/>
      <w:jc w:val="left"/>
    </w:pPr>
    <w:rPr>
      <w:rFonts w:hint="default" w:ascii="Calibri" w:hAnsi="Calibri" w:eastAsia="宋体"/>
      <w:kern w:val="0"/>
      <w:sz w:val="24"/>
      <w:szCs w:val="24"/>
    </w:rPr>
  </w:style>
  <w:style w:type="paragraph" w:customStyle="1" w:styleId="8">
    <w:name w:val="列出段落1"/>
    <w:basedOn w:val="1"/>
    <w:unhideWhenUsed/>
    <w:qFormat/>
    <w:uiPriority w:val="34"/>
    <w:pPr>
      <w:spacing w:beforeLines="0" w:afterLines="0"/>
      <w:ind w:firstLine="420" w:firstLineChars="200"/>
    </w:pPr>
    <w:rPr>
      <w:rFonts w:hint="eastAsia" w:ascii="仿宋" w:hAnsi="仿宋" w:eastAsia="仿宋"/>
      <w:kern w:val="0"/>
      <w:sz w:val="28"/>
      <w:szCs w:val="24"/>
    </w:rPr>
  </w:style>
  <w:style w:type="paragraph" w:styleId="9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4623</Words>
  <Characters>5263</Characters>
  <Lines>0</Lines>
  <Paragraphs>0</Paragraphs>
  <TotalTime>2</TotalTime>
  <ScaleCrop>false</ScaleCrop>
  <LinksUpToDate>false</LinksUpToDate>
  <CharactersWithSpaces>5420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2023-04-22T07:33:00Z</dcterms:created>
  <dc:creator>海之韵</dc:creator>
  <cp:lastModifiedBy>Administrator</cp:lastModifiedBy>
  <dcterms:modified xsi:type="dcterms:W3CDTF">2024-12-10T02:26:18Z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1014584458AF49F7B36A4CEEE184BFF1</vt:lpwstr>
  </property>
</Properties>
</file>