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2023年度双牌县上梧江瑶族乡人民政府部门整体支出绩效自评报告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jc w:val="center"/>
        <w:rPr>
          <w:rFonts w:hint="default" w:eastAsia="仿宋_GB2312"/>
          <w:sz w:val="32"/>
          <w:u w:val="single"/>
        </w:rPr>
      </w:pPr>
      <w:r>
        <w:rPr>
          <w:rFonts w:eastAsia="仿宋_GB2312"/>
          <w:sz w:val="32"/>
        </w:rPr>
        <w:t>单位名称（盖章）：</w:t>
      </w:r>
      <w:r>
        <w:rPr>
          <w:rFonts w:eastAsia="仿宋_GB2312"/>
          <w:sz w:val="32"/>
          <w:u w:val="single"/>
        </w:rPr>
        <w:t>双牌县上梧江瑶族乡人民政府</w:t>
      </w:r>
    </w:p>
    <w:p>
      <w:pPr>
        <w:spacing w:line="600" w:lineRule="exact"/>
        <w:ind w:firstLine="3200" w:firstLineChars="1000"/>
        <w:jc w:val="center"/>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2024 年 4 月 15 日</w:t>
      </w:r>
    </w:p>
    <w:p>
      <w:pPr>
        <w:jc w:val="center"/>
        <w:rPr>
          <w:rFonts w:hint="default" w:eastAsia="黑体"/>
          <w:sz w:val="32"/>
        </w:rPr>
      </w:pPr>
    </w:p>
    <w:p>
      <w:pPr>
        <w:jc w:val="center"/>
        <w:outlineLvl w:val="0"/>
        <w:rPr>
          <w:rFonts w:hint="default" w:eastAsia="仿宋_GB2312"/>
          <w:sz w:val="32"/>
        </w:rPr>
      </w:pPr>
      <w:r>
        <w:rPr>
          <w:rFonts w:eastAsia="仿宋_GB2312"/>
          <w:sz w:val="32"/>
        </w:rPr>
        <w:t xml:space="preserve">     （此页为封面）</w:t>
      </w:r>
    </w:p>
    <w:p>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pPr>
        <w:pStyle w:val="7"/>
        <w:shd w:val="clear" w:color="auto" w:fill="FFFFFF"/>
        <w:spacing w:beforeAutospacing="0" w:afterAutospacing="0" w:line="525" w:lineRule="atLeast"/>
        <w:ind w:firstLine="645"/>
        <w:jc w:val="both"/>
        <w:rPr>
          <w:rFonts w:ascii="仿宋" w:hAnsi="仿宋" w:eastAsia="仿宋" w:cs="仿宋"/>
          <w:color w:val="000000"/>
          <w:sz w:val="30"/>
          <w:szCs w:val="30"/>
        </w:rPr>
      </w:pPr>
      <w:r>
        <w:rPr>
          <w:rFonts w:hint="eastAsia" w:ascii="仿宋" w:hAnsi="仿宋" w:eastAsia="仿宋" w:cs="仿宋"/>
          <w:color w:val="000000"/>
          <w:sz w:val="30"/>
          <w:szCs w:val="30"/>
        </w:rPr>
        <w:t>1、职能职责</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（一）执行国家行政机关的决定、命令和国家制定的法令、法规，执行本级人民的代表大会的各项决议、决定和命令的情况。</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（二）制定并落实本行政区域的经济计划和措施，全面提高人民群众的生活水平和生活质量。</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（三）承担国有资产、集体资产管理、监督及增值保值责任。</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（四）开展社会主义民主和法制的宣传教育，保障公民权利，打击违法犯罪，维护社会稳定。</w:t>
      </w:r>
    </w:p>
    <w:p>
      <w:pPr>
        <w:widowControl/>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（五）制定社会各项事业发展计划，发展教育、卫生、科技、民政、广播电视、文化、体育事业；加强计划生育工作；推进社会保障、社会福利事业和养老保险等工作。</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（六）加强乡级财政的监督和管理。</w:t>
      </w:r>
    </w:p>
    <w:p>
      <w:pPr>
        <w:widowControl/>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（七）指导村民委员会的组织制度建设和业务建设，促进村民委员会民主自治。</w:t>
      </w:r>
    </w:p>
    <w:p>
      <w:pPr>
        <w:widowControl/>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（八）制定和组织实施乡村建设规划，保护和改善生活环境和生态环境。</w:t>
      </w:r>
    </w:p>
    <w:p>
      <w:pPr>
        <w:widowControl/>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（九）协助和支持设置在本行政区域内不隶属于乡的国家机关和企事业单位工作，监督其遵守和执行国家的法律、法规和政策。</w:t>
      </w:r>
    </w:p>
    <w:p>
      <w:pPr>
        <w:widowControl/>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（十）承办本级党委、人大和上级交办的其他事项。</w:t>
      </w:r>
    </w:p>
    <w:p>
      <w:pPr>
        <w:pStyle w:val="7"/>
        <w:shd w:val="clear" w:color="auto" w:fill="FFFFFF"/>
        <w:spacing w:beforeAutospacing="0" w:afterAutospacing="0" w:line="525" w:lineRule="atLeast"/>
        <w:ind w:firstLine="645"/>
        <w:jc w:val="both"/>
        <w:rPr>
          <w:rFonts w:ascii="仿宋" w:hAnsi="仿宋" w:eastAsia="仿宋" w:cs="仿宋"/>
          <w:color w:val="000000"/>
          <w:sz w:val="30"/>
          <w:szCs w:val="30"/>
        </w:rPr>
      </w:pPr>
      <w:r>
        <w:rPr>
          <w:rFonts w:hint="eastAsia" w:ascii="仿宋" w:hAnsi="仿宋" w:eastAsia="仿宋" w:cs="仿宋"/>
          <w:color w:val="000000"/>
          <w:sz w:val="30"/>
          <w:szCs w:val="30"/>
        </w:rPr>
        <w:t>2、机构设置</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上梧江瑶族乡设4个内设机构：1、党政综合办公室（行政审批服务办公室、信访办公室）；2、党建工作办公室；3、经济发展办公室（农业农村和扶贫工作办公室）；4、社会事务办公室（卫生健康办公室）；5、自然资源和生态环境办公室（农村房屋建设管理办公室）6、社会治安和应急管理办公室（社会治安综合治理中心）。</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上梧江瑶族乡直属事业单位规范设置为4个：1、社会事业综合服务中心（文化综合服务站、禁毒宣教站）；2、农业综合服务中心；3、政务（便民）服务中心；4、退役军人服务中心。上梧江瑶族乡设置综合行政执法机构1个：综合行政执法大队。</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本年度年末实有机构人员总数为31人，行政编制18人，事业人员13人。</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3、单位年度整体支出绩效目标，项目支出绩效目标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（1）部门年度整体支出绩效目标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认真贯彻执行党的基本路线、方针政策和上级组织的决议、指示、命令；对本乡的重大问题进行决策，研究制定全镇经济、社会和文化发展规划。</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（2）项目支出绩效目标</w:t>
      </w:r>
    </w:p>
    <w:p>
      <w:pPr>
        <w:widowControl/>
        <w:ind w:firstLine="600" w:firstLineChars="200"/>
        <w:jc w:val="left"/>
        <w:rPr>
          <w:rFonts w:hint="default" w:ascii="仿宋" w:hAnsi="仿宋" w:eastAsia="仿宋" w:cs="仿宋"/>
          <w:color w:val="000000"/>
          <w:kern w:val="0"/>
          <w:sz w:val="30"/>
          <w:szCs w:val="30"/>
        </w:rPr>
      </w:pPr>
      <w:r>
        <w:rPr>
          <w:rFonts w:ascii="仿宋" w:hAnsi="仿宋" w:eastAsia="仿宋" w:cs="仿宋"/>
          <w:color w:val="000000"/>
          <w:kern w:val="0"/>
          <w:sz w:val="30"/>
          <w:szCs w:val="30"/>
        </w:rPr>
        <w:t>保障乡政府的基本运转，不断提升上梧江瑶族乡人民政府的服务水平。</w:t>
      </w:r>
    </w:p>
    <w:p>
      <w:pPr>
        <w:pStyle w:val="11"/>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1"/>
        <w:spacing w:line="570" w:lineRule="exact"/>
        <w:ind w:firstLine="600"/>
        <w:outlineLvl w:val="1"/>
        <w:rPr>
          <w:rFonts w:ascii="仿宋" w:hAnsi="仿宋" w:eastAsia="仿宋" w:cs="仿宋"/>
          <w:sz w:val="30"/>
          <w:szCs w:val="30"/>
        </w:rPr>
      </w:pPr>
      <w:r>
        <w:rPr>
          <w:rFonts w:hint="eastAsia" w:ascii="仿宋" w:hAnsi="仿宋" w:eastAsia="仿宋" w:cs="仿宋"/>
          <w:sz w:val="30"/>
          <w:szCs w:val="30"/>
        </w:rPr>
        <w:t>（一）基本支出情况</w:t>
      </w:r>
    </w:p>
    <w:p>
      <w:pPr>
        <w:widowControl/>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基本支出：437.25万元，占总支出的比重为29.98%。一般公共预算财政拨款基本支出中人员经费395.45万元，主要包括：基本工资116.65万元、津贴补贴99.41万元、奖金76.53万元、绩效工资30.17万元、机关事业单位基本养老保险30.58万元、职工基本医疗保险缴费17.41万元、住房公积金22.93万元；一般公共预算财政拨款基本支出中公用经费38.2万元，主要包括：办公费7.4万元、印刷费1.52万元、水费0.4万元、电费2.38万元、邮电费0.3万元、差旅费2万元、会议费1.5万元、公务接待费12.77万元、劳务费0.23万元、工会经费0.42万元、福利费2万元、公务用车运行维护费4万元、其他交通费用2万元、其他商品和服务支出1.28万元。</w:t>
      </w:r>
    </w:p>
    <w:p>
      <w:pPr>
        <w:pStyle w:val="11"/>
        <w:numPr>
          <w:ilvl w:val="0"/>
          <w:numId w:val="2"/>
        </w:numPr>
        <w:spacing w:line="570" w:lineRule="exact"/>
        <w:ind w:firstLine="600"/>
        <w:outlineLvl w:val="1"/>
        <w:rPr>
          <w:rFonts w:ascii="仿宋" w:hAnsi="仿宋" w:eastAsia="仿宋" w:cs="仿宋"/>
          <w:sz w:val="30"/>
          <w:szCs w:val="30"/>
        </w:rPr>
      </w:pPr>
      <w:r>
        <w:rPr>
          <w:rFonts w:hint="eastAsia" w:ascii="仿宋" w:hAnsi="仿宋" w:eastAsia="仿宋" w:cs="仿宋"/>
          <w:sz w:val="30"/>
          <w:szCs w:val="30"/>
        </w:rPr>
        <w:t>项目支出情况</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项目支出：1021.45万元，占总支出的比重为70.02%，是指单位为完成特定行政工作任务或事业发展目标而发生的支出，主要包括：上梧江瑶族乡各项单位业务经费、耕地抛荒整治及土地复垦项目、上梧江瑶族乡人居环境整治、公益性岗位补贴、上梧江瑶族乡政府办公楼及宿舍维修工程、水利移民项目、乡村振兴改厕项目、乡村振兴衔接项目、村级运转经费及村级组织服务群众专项经费等项目支出。</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11"/>
        <w:spacing w:line="570" w:lineRule="exact"/>
        <w:ind w:firstLine="600"/>
        <w:jc w:val="left"/>
        <w:outlineLvl w:val="0"/>
        <w:rPr>
          <w:rFonts w:ascii="仿宋" w:hAnsi="仿宋" w:eastAsia="仿宋" w:cs="仿宋"/>
          <w:color w:val="000000"/>
          <w:kern w:val="2"/>
          <w:sz w:val="30"/>
          <w:szCs w:val="30"/>
        </w:rPr>
      </w:pPr>
      <w:r>
        <w:rPr>
          <w:rFonts w:hint="eastAsia" w:ascii="仿宋" w:hAnsi="仿宋" w:eastAsia="仿宋" w:cs="仿宋"/>
          <w:color w:val="000000"/>
          <w:kern w:val="2"/>
          <w:sz w:val="30"/>
          <w:szCs w:val="30"/>
        </w:rPr>
        <w:t>本年度政府性基金预算支出17.09万元，主要用于上梧江瑶族乡政府办公楼及宿舍维修项目、缴纳水厂罚金。</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四、国有资本经营预算支出情况。</w:t>
      </w:r>
    </w:p>
    <w:p>
      <w:pPr>
        <w:pStyle w:val="11"/>
        <w:spacing w:line="570" w:lineRule="exact"/>
        <w:ind w:firstLine="600"/>
        <w:jc w:val="left"/>
        <w:outlineLvl w:val="0"/>
        <w:rPr>
          <w:rFonts w:ascii="Times New Roman" w:hAnsi="Times New Roman" w:eastAsia="仿宋_GB2312"/>
          <w:color w:val="000000"/>
          <w:kern w:val="2"/>
          <w:sz w:val="30"/>
          <w:szCs w:val="30"/>
        </w:rPr>
      </w:pPr>
      <w:r>
        <w:rPr>
          <w:rFonts w:hint="eastAsia" w:ascii="Times New Roman" w:hAnsi="Times New Roman" w:eastAsia="仿宋_GB2312"/>
          <w:color w:val="000000"/>
          <w:kern w:val="2"/>
          <w:sz w:val="30"/>
          <w:szCs w:val="30"/>
        </w:rPr>
        <w:t>我单位无国有资本经营预算支出情况。</w:t>
      </w:r>
    </w:p>
    <w:p>
      <w:pPr>
        <w:pStyle w:val="11"/>
        <w:numPr>
          <w:ilvl w:val="0"/>
          <w:numId w:val="3"/>
        </w:numPr>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pPr>
        <w:pStyle w:val="11"/>
        <w:spacing w:line="570" w:lineRule="exact"/>
        <w:ind w:firstLine="600"/>
        <w:jc w:val="left"/>
        <w:outlineLvl w:val="0"/>
        <w:rPr>
          <w:rFonts w:ascii="Times New Roman" w:hAnsi="Times New Roman" w:eastAsia="仿宋_GB2312"/>
          <w:color w:val="000000"/>
          <w:kern w:val="2"/>
          <w:sz w:val="30"/>
          <w:szCs w:val="30"/>
        </w:rPr>
      </w:pPr>
      <w:r>
        <w:rPr>
          <w:rFonts w:hint="eastAsia" w:ascii="Times New Roman" w:hAnsi="Times New Roman" w:eastAsia="仿宋_GB2312"/>
          <w:color w:val="000000"/>
          <w:kern w:val="2"/>
          <w:sz w:val="30"/>
          <w:szCs w:val="30"/>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主要绩效如下：</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1、从经济性情况分析看，预算资金覆盖各个需求方面，“三公”经费预算没有超过上年预算安排。2023年预算资金能保障单位正常运转需要，分配办法科学，考虑的因素必要合理，分配的结果合理，能基本保证人员经费支出和机构全年工作运转。</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2、从效率性情况分析看，在各项工作费用支付中，尤其是干部职工的医疗保险、工伤保险、福利费、工会经费等人员经费支出能及时按进度保质保量完成。预算公用经费及村级办公经费基本拨付到位，预算完成率和预算控制率较好。</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3、从有效性情况分析看，夯实基层力量，提高基层干部工作积极性，全面整合职能和资源，提升干部办事效率，优化服务质量；群众收入增加，幸福感提高。</w:t>
      </w:r>
    </w:p>
    <w:p>
      <w:pPr>
        <w:spacing w:line="570" w:lineRule="exact"/>
        <w:ind w:firstLine="600" w:firstLineChars="200"/>
        <w:jc w:val="left"/>
        <w:rPr>
          <w:rFonts w:hint="default" w:eastAsia="仿宋_GB2312"/>
          <w:color w:val="000000"/>
          <w:sz w:val="30"/>
          <w:szCs w:val="30"/>
        </w:rPr>
      </w:pPr>
      <w:r>
        <w:rPr>
          <w:rFonts w:eastAsia="仿宋_GB2312"/>
          <w:color w:val="000000"/>
          <w:sz w:val="30"/>
          <w:szCs w:val="30"/>
        </w:rPr>
        <w:t>4、从可持续性分析看，我乡地域面积较大，乡镇工作综合性弱，需加大人力、资金投入。</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1、预算执行率率有待提高。由于预算项目未实施或未及时报账导致年末预算资金未形成支出。</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2、专项资金少，资金压力大。针对我镇农村经济基础薄弱、资金压力大的现状，重点产业项目尚需进一步的加强。</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3、预算编制不够明确和细化，预算编制的合理性需要提高，预算执行力度还要进一步加强。资金使用效益有待进一步提高，绩效目标设立不够明确、细化和量化。</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4、人员严重缺编与工作任务繁重矛盾日益突出。</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sz w:val="30"/>
          <w:szCs w:val="30"/>
        </w:rPr>
        <w:t>八、下一步改进措施</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1、细化预算编制工作，认真做好预算的编制。进一步加强内设机构的预算管理意识，严格按照预算编制的相关制度和要求进行预算编制。</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70" w:lineRule="exact"/>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570" w:lineRule="exact"/>
        <w:ind w:firstLine="600" w:firstLineChars="200"/>
        <w:jc w:val="left"/>
        <w:rPr>
          <w:rFonts w:hint="default" w:ascii="仿宋" w:hAnsi="仿宋" w:eastAsia="仿宋" w:cs="仿宋"/>
          <w:sz w:val="30"/>
          <w:szCs w:val="30"/>
        </w:rPr>
      </w:pPr>
      <w:r>
        <w:rPr>
          <w:rFonts w:ascii="仿宋" w:hAnsi="仿宋" w:eastAsia="仿宋" w:cs="仿宋"/>
          <w:color w:val="000000"/>
          <w:sz w:val="30"/>
          <w:szCs w:val="30"/>
        </w:rPr>
        <w:t>4、对相关人员加强培训，特别是针对《预算法》、《行政事业单位会计制度》等学习培训，规范部门预算收支核算，切实提高部门预算收支管理水平。</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60" w:lineRule="exact"/>
        <w:ind w:firstLine="600" w:firstLineChars="200"/>
        <w:rPr>
          <w:rFonts w:hint="default" w:ascii="仿宋" w:hAnsi="仿宋" w:eastAsia="仿宋" w:cs="仿宋"/>
          <w:sz w:val="30"/>
          <w:szCs w:val="30"/>
        </w:rPr>
      </w:pPr>
      <w:r>
        <w:rPr>
          <w:rFonts w:ascii="仿宋" w:hAnsi="仿宋" w:eastAsia="仿宋" w:cs="仿宋"/>
          <w:color w:val="000000"/>
          <w:kern w:val="0"/>
          <w:sz w:val="30"/>
          <w:szCs w:val="30"/>
        </w:rPr>
        <w:t>按照政府信息公开的有关要求，逐步公开财政支出项目预算及绩效评价结果，加强社会公众对财政资金使用效益的监督。</w:t>
      </w:r>
    </w:p>
    <w:p>
      <w:pPr>
        <w:spacing w:line="570" w:lineRule="exact"/>
        <w:ind w:firstLine="645"/>
        <w:jc w:val="left"/>
        <w:rPr>
          <w:rFonts w:hint="default" w:eastAsia="黑体"/>
          <w:sz w:val="32"/>
        </w:rPr>
      </w:pPr>
      <w:r>
        <w:rPr>
          <w:rFonts w:eastAsia="黑体"/>
          <w:sz w:val="32"/>
        </w:rPr>
        <w:t>其他需要说明的情况</w:t>
      </w:r>
    </w:p>
    <w:p>
      <w:pPr>
        <w:rPr>
          <w:rFonts w:ascii="仿宋" w:hAnsi="仿宋" w:eastAsia="仿宋" w:cs="仿宋"/>
          <w:color w:val="000000"/>
          <w:kern w:val="0"/>
          <w:sz w:val="30"/>
          <w:szCs w:val="30"/>
        </w:rPr>
      </w:pPr>
      <w:r>
        <w:rPr>
          <w:rFonts w:ascii="仿宋" w:hAnsi="仿宋" w:eastAsia="仿宋" w:cs="仿宋"/>
          <w:color w:val="000000"/>
          <w:kern w:val="0"/>
          <w:sz w:val="30"/>
          <w:szCs w:val="30"/>
        </w:rPr>
        <w:t>无。</w:t>
      </w:r>
    </w:p>
    <w:p>
      <w:pPr>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8"/>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399.02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376.59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437.25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90.31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36.8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78.93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31.92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5.88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18.39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22.87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18.87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18.87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1078.87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301.51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1021.44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3.74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44.87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437.25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压缩一般性支出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填表人：欧阳梦婷 填报日期：2024.4.15  联系电话：7830001 单位负责人签字:</w:t>
      </w:r>
    </w:p>
    <w:p>
      <w:pPr>
        <w:spacing w:line="440" w:lineRule="exact"/>
        <w:jc w:val="left"/>
        <w:rPr>
          <w:rFonts w:hint="default" w:eastAsia="黑体"/>
          <w:sz w:val="32"/>
        </w:rPr>
      </w:pP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8"/>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双牌县上梧江瑶族乡人民政府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678.1</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1458.7</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1458.7</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215.1%</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一般公共预算：692.38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其中：基本支出：437.25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政府性基金拨款：17.09</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项目支出：1021.44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其他资金：749.23</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9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2"/>
              </w:rPr>
              <w:t>认真贯彻执行党的基本路线、方针政策和上级组织的决议、指示、命令；对本镇的重大问题进行决策，研究制定全乡经济、社会和文化发展规划。</w:t>
            </w:r>
            <w:r>
              <w:rPr>
                <w:rFonts w:asciiTheme="minorEastAsia" w:hAnsiTheme="minorEastAsia" w:eastAsiaTheme="minorEastAsia" w:cstheme="minorEastAsia"/>
                <w:color w:val="000000"/>
                <w:sz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color w:val="000000"/>
                <w:sz w:val="22"/>
              </w:rPr>
              <w:t>认真贯彻执行党的基本路线、方针政策和上级组织的决议、指示、命令；对本镇的重大问题进行决策，研究制定全乡经济、社会和文化发展规划。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数量指标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678.1</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1458.7</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质量指标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资金质量达标率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成本指标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时效指标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支出控制在预算内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质量达标率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≥88%</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绩效目标完成的质量还需进一步提升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支出控制在预算内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7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促进本乡经济发展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经济增长、物价稳定、公平分配</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生态效益指标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改善环境，保护环境意识提高</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可持续影响指标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仿宋_GB2312" w:hAnsi="仿宋_GB2312"/>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98</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440" w:lineRule="exact"/>
        <w:jc w:val="left"/>
        <w:rPr>
          <w:rFonts w:eastAsiaTheme="minorEastAsia"/>
        </w:rPr>
      </w:pPr>
      <w:r>
        <w:rPr>
          <w:rFonts w:eastAsia="仿宋_GB2312"/>
          <w:sz w:val="22"/>
        </w:rPr>
        <w:t>填表人：欧阳梦婷  填报日期：2024.4.15   联系电话：7830001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1021.44万元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保证乡政府的基本运转，不断提升政府的服务水平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年初预算301.51万元，全年执行数1021.44万元，将其他收入资金的项目列入，各项目均按时保质保量完成，项目资金做到专款专用。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项目绩效目标（成本指标、产出指标、效益指标）均按照预期较好完成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项目管理机制不健全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建议设置独立管理机构，合理搭配工程、财务、后期保障人员，提升管理水平。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填表人：欧阳梦婷 填报日期：2024.4.15 联系电话：7830001 单位负责人签字：</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440"/>
        <w:gridCol w:w="875"/>
        <w:gridCol w:w="1140"/>
        <w:gridCol w:w="1345"/>
        <w:gridCol w:w="627"/>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双牌县上梧江瑶族乡人民政府</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650"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双牌县上梧江瑶族乡人民政府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5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5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301.51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1021.44</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1021.44</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5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301.51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255.13</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255.13</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5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525"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766.31</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766.31</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保障乡政府的基本运转，不断提升上梧江乡政府服务水平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保障乡政府的基本运转，不断提升上梧江乡政府服务水平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经济成</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本指标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支出控制在预算内</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301.51万元</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1021.44万元</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生态环境</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成本指标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改善环境，保护环境意识提高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数量指标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完成支出额</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301.51万元</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1021.44万元</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质量指标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项目验收合格率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时效指标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促进本乡经济发展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left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保护生态发展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left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益指标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经济增长、物价稳定、公平分配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可持续影响指标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2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8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134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62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806"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62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jc w:val="left"/>
        <w:rPr>
          <w:rFonts w:hint="default" w:eastAsia="仿宋_GB2312"/>
          <w:sz w:val="22"/>
        </w:rPr>
        <w:sectPr>
          <w:footerReference r:id="rId3" w:type="default"/>
          <w:footerReference r:id="rId4" w:type="even"/>
          <w:pgSz w:w="11905" w:h="16837"/>
          <w:pgMar w:top="1440" w:right="1701" w:bottom="1440" w:left="1701" w:header="851" w:footer="1474" w:gutter="0"/>
          <w:pgNumType w:fmt="numberInDash" w:start="13"/>
          <w:cols w:space="0" w:num="1"/>
          <w:docGrid w:type="lines" w:linePitch="636" w:charSpace="0"/>
        </w:sectPr>
      </w:pPr>
      <w:r>
        <w:rPr>
          <w:rFonts w:asciiTheme="minorEastAsia" w:hAnsiTheme="minorEastAsia" w:eastAsiaTheme="minorEastAsia" w:cstheme="minorEastAsia"/>
          <w:sz w:val="24"/>
        </w:rPr>
        <w:t>填表人：欧阳梦婷  填报日期：2024.4.15 联系电话：7830001  单位负责人签字：</w:t>
      </w:r>
    </w:p>
    <w:p>
      <w:pPr>
        <w:spacing w:line="600" w:lineRule="exact"/>
        <w:jc w:val="left"/>
        <w:rPr>
          <w:rFonts w:hint="default"/>
        </w:rPr>
      </w:pPr>
    </w:p>
    <w:p>
      <w:pPr>
        <w:pStyle w:val="2"/>
        <w:rPr>
          <w:rFonts w:hint="default"/>
        </w:rPr>
        <w:sectPr>
          <w:footerReference r:id="rId5" w:type="default"/>
          <w:footerReference r:id="rId6" w:type="even"/>
          <w:pgSz w:w="11905" w:h="16837"/>
          <w:pgMar w:top="1440" w:right="1701" w:bottom="1440" w:left="1701" w:header="851" w:footer="1474" w:gutter="0"/>
          <w:pgNumType w:fmt="numberInDash" w:start="10"/>
          <w:cols w:space="0" w:num="1"/>
          <w:docGrid w:type="lines" w:linePitch="636" w:charSpace="0"/>
        </w:sectPr>
      </w:pPr>
      <w:bookmarkStart w:id="0" w:name="_GoBack"/>
      <w:bookmarkEnd w:id="0"/>
    </w:p>
    <w:p>
      <w:pPr>
        <w:spacing w:line="600" w:lineRule="exact"/>
        <w:jc w:val="left"/>
        <w:rPr>
          <w:rFonts w:eastAsiaTheme="minorEastAsia"/>
        </w:rPr>
      </w:pPr>
    </w:p>
    <w:p>
      <w:pPr>
        <w:pStyle w:val="2"/>
        <w:rPr>
          <w:rFonts w:hint="default"/>
        </w:rPr>
        <w:sectPr>
          <w:headerReference r:id="rId7" w:type="default"/>
          <w:footerReference r:id="rId8" w:type="default"/>
          <w:footerReference r:id="rId9" w:type="even"/>
          <w:pgSz w:w="11905" w:h="16837"/>
          <w:pgMar w:top="1440" w:right="1701" w:bottom="1440" w:left="1701" w:header="851" w:footer="1474" w:gutter="0"/>
          <w:pgNumType w:fmt="numberInDash" w:start="1"/>
          <w:cols w:space="0" w:num="1"/>
          <w:docGrid w:type="lines" w:linePitch="636" w:charSpace="0"/>
        </w:sectPr>
      </w:pPr>
    </w:p>
    <w:p>
      <w:pPr>
        <w:rPr>
          <w:rFonts w:hint="default" w:eastAsiaTheme="minorEastAsia"/>
        </w:rPr>
      </w:pPr>
    </w:p>
    <w:p>
      <w:pPr>
        <w:spacing w:line="570" w:lineRule="exact"/>
        <w:ind w:firstLine="645"/>
        <w:jc w:val="left"/>
        <w:rPr>
          <w:rFonts w:ascii="仿宋" w:hAnsi="仿宋" w:eastAsia="仿宋" w:cs="仿宋"/>
          <w:color w:val="000000"/>
          <w:kern w:val="0"/>
          <w:sz w:val="30"/>
          <w:szCs w:val="30"/>
        </w:rPr>
      </w:pPr>
    </w:p>
    <w:sectPr>
      <w:footerReference r:id="rId10" w:type="default"/>
      <w:footerReference r:id="rId11" w:type="even"/>
      <w:pgSz w:w="11905" w:h="16837"/>
      <w:pgMar w:top="1440" w:right="1701" w:bottom="1440" w:left="1701" w:header="851" w:footer="1474" w:gutter="0"/>
      <w:pgNumType w:fmt="numberInDash" w:start="1"/>
      <w:cols w:space="0" w:num="1"/>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7" o:spid="_x0000_s1037"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pqVQM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- 14 -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8" o:spid="_x0000_s103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9Jp7zCAQAAcQ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6NUDc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4"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- 2 -</w:t>
                </w:r>
                <w:r>
                  <w:rPr>
                    <w:rFonts w:ascii="宋体" w:hAnsi="宋体" w:cs="宋体"/>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60o/sQBAABwAwAADgAAAAAAAAABACAAAAAeAQAAZHJzL2Uyb0RvYy54bWxQ&#10;SwUGAAAAAAYABgBZAQAAVA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文本框 1" o:spid="_x0000_s102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- 7 -</w:t>
                </w:r>
                <w:r>
                  <w:rPr>
                    <w:rFonts w:ascii="宋体" w:hAnsi="宋体" w:cs="宋体"/>
                    <w:szCs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- 2 -</w:t>
                </w:r>
                <w:r>
                  <w:rPr>
                    <w:rFonts w:ascii="宋体" w:hAnsi="宋体" w:cs="宋体"/>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p>
    <w:pPr>
      <w:pStyle w:val="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33917BD"/>
    <w:multiLevelType w:val="singleLevel"/>
    <w:tmpl w:val="633917BD"/>
    <w:lvl w:ilvl="0" w:tentative="0">
      <w:start w:val="5"/>
      <w:numFmt w:val="chineseCounting"/>
      <w:suff w:val="nothing"/>
      <w:lvlText w:val="%1、"/>
      <w:lvlJc w:val="left"/>
      <w:rPr>
        <w:rFonts w:hint="eastAsia"/>
      </w:rPr>
    </w:lvl>
  </w:abstractNum>
  <w:abstractNum w:abstractNumId="2">
    <w:nsid w:val="68EAEAED"/>
    <w:multiLevelType w:val="singleLevel"/>
    <w:tmpl w:val="68EAEAE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_x000a_Ŭ"/>
  </w:docVars>
  <w:rsids>
    <w:rsidRoot w:val="00172A27"/>
    <w:rsid w:val="00006E1F"/>
    <w:rsid w:val="00064FA0"/>
    <w:rsid w:val="00172A27"/>
    <w:rsid w:val="003258FE"/>
    <w:rsid w:val="003B427D"/>
    <w:rsid w:val="00471672"/>
    <w:rsid w:val="004C0869"/>
    <w:rsid w:val="00553A83"/>
    <w:rsid w:val="00582936"/>
    <w:rsid w:val="007A1D11"/>
    <w:rsid w:val="007B13A8"/>
    <w:rsid w:val="00856B36"/>
    <w:rsid w:val="00A873C1"/>
    <w:rsid w:val="00CC3970"/>
    <w:rsid w:val="00E251DA"/>
    <w:rsid w:val="00F221AB"/>
    <w:rsid w:val="020704B3"/>
    <w:rsid w:val="0B0F7863"/>
    <w:rsid w:val="0CCE5073"/>
    <w:rsid w:val="0DF73F61"/>
    <w:rsid w:val="101F3C57"/>
    <w:rsid w:val="105E064F"/>
    <w:rsid w:val="154B3473"/>
    <w:rsid w:val="15B02F86"/>
    <w:rsid w:val="18542007"/>
    <w:rsid w:val="1BCE59A7"/>
    <w:rsid w:val="1D5E5630"/>
    <w:rsid w:val="1F9C1D8C"/>
    <w:rsid w:val="20BA3D5C"/>
    <w:rsid w:val="20FE29CD"/>
    <w:rsid w:val="213827F6"/>
    <w:rsid w:val="24756501"/>
    <w:rsid w:val="2AF82401"/>
    <w:rsid w:val="31180DB8"/>
    <w:rsid w:val="31EF3498"/>
    <w:rsid w:val="32134DB6"/>
    <w:rsid w:val="33457B5A"/>
    <w:rsid w:val="33EA0D37"/>
    <w:rsid w:val="3DFB432B"/>
    <w:rsid w:val="41A60F90"/>
    <w:rsid w:val="437042B4"/>
    <w:rsid w:val="43D25C86"/>
    <w:rsid w:val="47FF7E2A"/>
    <w:rsid w:val="4946176D"/>
    <w:rsid w:val="4A7E5437"/>
    <w:rsid w:val="4B490F32"/>
    <w:rsid w:val="4B564457"/>
    <w:rsid w:val="4C575977"/>
    <w:rsid w:val="4DF30F3A"/>
    <w:rsid w:val="4E8B7C40"/>
    <w:rsid w:val="4F1637A4"/>
    <w:rsid w:val="500F1BD2"/>
    <w:rsid w:val="51C40746"/>
    <w:rsid w:val="51E06209"/>
    <w:rsid w:val="543E6CC0"/>
    <w:rsid w:val="55412274"/>
    <w:rsid w:val="55C03679"/>
    <w:rsid w:val="57C446E9"/>
    <w:rsid w:val="58820FB8"/>
    <w:rsid w:val="594F3031"/>
    <w:rsid w:val="5ABA52A9"/>
    <w:rsid w:val="5C8E01AF"/>
    <w:rsid w:val="6229426D"/>
    <w:rsid w:val="629D0130"/>
    <w:rsid w:val="629D4556"/>
    <w:rsid w:val="62BE6D8B"/>
    <w:rsid w:val="64E742EF"/>
    <w:rsid w:val="684B0AD7"/>
    <w:rsid w:val="6E351362"/>
    <w:rsid w:val="6E751F61"/>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10">
    <w:name w:val="列出段落1"/>
    <w:basedOn w:val="1"/>
    <w:unhideWhenUsed/>
    <w:qFormat/>
    <w:uiPriority w:val="34"/>
    <w:pPr>
      <w:ind w:firstLine="420" w:firstLineChars="200"/>
    </w:pPr>
    <w:rPr>
      <w:rFonts w:ascii="仿宋" w:hAnsi="仿宋" w:eastAsia="仿宋"/>
      <w:kern w:val="0"/>
      <w:sz w:val="28"/>
    </w:rPr>
  </w:style>
  <w:style w:type="paragraph" w:customStyle="1" w:styleId="11">
    <w:name w:val="列出段落2"/>
    <w:basedOn w:val="1"/>
    <w:unhideWhenUsed/>
    <w:qFormat/>
    <w:uiPriority w:val="99"/>
    <w:pPr>
      <w:ind w:firstLine="420" w:firstLineChars="200"/>
    </w:pPr>
    <w:rPr>
      <w:rFonts w:hint="default" w:ascii="Calibri" w:hAnsi="Calibri"/>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7"/>
    <customShpInfo spid="_x0000_s1038"/>
    <customShpInfo spid="_x0000_s1033"/>
    <customShpInfo spid="_x0000_s1034"/>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399</Words>
  <Characters>2275</Characters>
  <Lines>18</Lines>
  <Paragraphs>5</Paragraphs>
  <TotalTime>1</TotalTime>
  <ScaleCrop>false</ScaleCrop>
  <LinksUpToDate>false</LinksUpToDate>
  <CharactersWithSpaces>2669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2024-04-02T09:20:00Z</dcterms:created>
  <dc:creator>海之韵</dc:creator>
  <cp:lastModifiedBy>Administrator</cp:lastModifiedBy>
  <cp:lastPrinted>2024-05-08T03:41:00Z</cp:lastPrinted>
  <dcterms:modified xsi:type="dcterms:W3CDTF">2024-12-10T02:20:46Z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DD7F033811E1461FA027F064140781A2_13</vt:lpwstr>
  </property>
</Properties>
</file>