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pPr>
        <w:jc w:val="center"/>
        <w:outlineLvl w:val="1"/>
        <w:rPr>
          <w:rFonts w:hint="default" w:ascii="方正小标宋简体" w:eastAsia="方正小标宋简体"/>
          <w:sz w:val="52"/>
        </w:rPr>
      </w:pPr>
      <w:r>
        <w:rPr>
          <w:rFonts w:ascii="方正小标宋简体" w:eastAsia="方正小标宋简体"/>
          <w:sz w:val="52"/>
        </w:rPr>
        <w:t>2023年度双牌县民政局整体支出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spacing w:line="600" w:lineRule="exact"/>
        <w:ind w:firstLine="1920" w:firstLineChars="600"/>
        <w:rPr>
          <w:rFonts w:hint="default" w:eastAsia="仿宋_GB2312"/>
          <w:sz w:val="32"/>
          <w:u w:val="single"/>
        </w:rPr>
      </w:pPr>
      <w:r>
        <w:rPr>
          <w:rFonts w:eastAsia="仿宋_GB2312"/>
          <w:sz w:val="32"/>
        </w:rPr>
        <w:t>单位名称（盖章）：双牌县民政局</w:t>
      </w:r>
    </w:p>
    <w:p>
      <w:pPr>
        <w:spacing w:line="600" w:lineRule="exact"/>
        <w:ind w:firstLine="3200" w:firstLineChars="1000"/>
        <w:rPr>
          <w:rFonts w:hint="default" w:eastAsia="楷体_GB2312"/>
          <w:sz w:val="32"/>
        </w:rPr>
      </w:pPr>
    </w:p>
    <w:p>
      <w:pPr>
        <w:spacing w:line="600" w:lineRule="exact"/>
        <w:ind w:firstLine="3200" w:firstLineChars="1000"/>
        <w:rPr>
          <w:rFonts w:hint="default" w:eastAsia="楷体_GB2312"/>
          <w:sz w:val="32"/>
        </w:rPr>
      </w:pPr>
      <w:r>
        <w:rPr>
          <w:rFonts w:eastAsia="楷体_GB2312"/>
          <w:sz w:val="32"/>
        </w:rPr>
        <w:t>2024年4月10日</w:t>
      </w:r>
    </w:p>
    <w:p>
      <w:pPr>
        <w:jc w:val="center"/>
        <w:rPr>
          <w:rFonts w:hint="default" w:eastAsia="黑体"/>
          <w:sz w:val="32"/>
        </w:rPr>
      </w:pPr>
    </w:p>
    <w:p>
      <w:pPr>
        <w:jc w:val="center"/>
        <w:outlineLvl w:val="0"/>
        <w:rPr>
          <w:rFonts w:hint="default" w:eastAsia="仿宋_GB2312"/>
          <w:sz w:val="32"/>
        </w:rPr>
      </w:pPr>
      <w:r>
        <w:rPr>
          <w:rFonts w:eastAsia="仿宋_GB2312"/>
          <w:sz w:val="32"/>
        </w:rPr>
        <w:t>（此页为封面）</w:t>
      </w:r>
    </w:p>
    <w:p>
      <w:pPr>
        <w:spacing w:line="560" w:lineRule="exact"/>
        <w:ind w:firstLine="640" w:firstLineChars="200"/>
        <w:rPr>
          <w:rFonts w:hint="default" w:ascii="仿宋" w:hAnsi="仿宋" w:eastAsia="仿宋" w:cs="仿宋"/>
          <w:sz w:val="32"/>
          <w:szCs w:val="32"/>
        </w:rPr>
      </w:pPr>
      <w:r>
        <w:rPr>
          <w:rFonts w:hint="default" w:eastAsia="仿宋_GB2312"/>
          <w:sz w:val="32"/>
        </w:rPr>
        <w:br w:type="page"/>
      </w:r>
      <w:r>
        <w:rPr>
          <w:rFonts w:ascii="仿宋" w:hAnsi="仿宋" w:eastAsia="仿宋" w:cs="仿宋"/>
          <w:sz w:val="32"/>
          <w:szCs w:val="32"/>
        </w:rPr>
        <w:t>根据《中共中央 国务院关于全面实施预算绩效管理的意见》和《双牌县财政局关于开展2023年度县本级财政资金绩效评价工作的通知》（双财绩〔2024〕2号）的文件精神，我局对部门整体支出进行了绩效评价，现报告如下：</w:t>
      </w:r>
    </w:p>
    <w:p>
      <w:pPr>
        <w:numPr>
          <w:ilvl w:val="0"/>
          <w:numId w:val="1"/>
        </w:numPr>
        <w:spacing w:line="560" w:lineRule="exact"/>
        <w:ind w:firstLine="640" w:firstLineChars="200"/>
        <w:rPr>
          <w:rFonts w:hint="default" w:ascii="黑体" w:hAnsi="黑体" w:eastAsia="黑体" w:cs="黑体"/>
          <w:color w:val="000000"/>
          <w:kern w:val="0"/>
          <w:sz w:val="32"/>
          <w:szCs w:val="32"/>
        </w:rPr>
      </w:pPr>
      <w:r>
        <w:rPr>
          <w:rFonts w:ascii="黑体" w:hAnsi="黑体" w:eastAsia="黑体" w:cs="黑体"/>
          <w:color w:val="000000"/>
          <w:kern w:val="0"/>
          <w:sz w:val="32"/>
          <w:szCs w:val="32"/>
        </w:rPr>
        <w:t>单位基本情况</w:t>
      </w:r>
    </w:p>
    <w:p>
      <w:pPr>
        <w:pStyle w:val="9"/>
        <w:ind w:firstLine="280"/>
        <w:rPr>
          <w:rFonts w:hint="default"/>
        </w:rPr>
      </w:pPr>
    </w:p>
    <w:p>
      <w:pPr>
        <w:pStyle w:val="9"/>
        <w:ind w:firstLine="321"/>
        <w:rPr>
          <w:rFonts w:hint="default" w:ascii="楷体" w:hAnsi="楷体" w:eastAsia="楷体" w:cs="楷体"/>
          <w:b/>
          <w:bCs/>
          <w:sz w:val="32"/>
          <w:szCs w:val="32"/>
        </w:rPr>
      </w:pPr>
      <w:r>
        <w:rPr>
          <w:rFonts w:ascii="楷体" w:hAnsi="楷体" w:eastAsia="楷体" w:cs="楷体"/>
          <w:b/>
          <w:bCs/>
          <w:sz w:val="32"/>
          <w:szCs w:val="32"/>
        </w:rPr>
        <w:t>（一）单位职能职责、机构编制、人员构成</w:t>
      </w:r>
    </w:p>
    <w:p>
      <w:pPr>
        <w:spacing w:line="560" w:lineRule="exact"/>
        <w:ind w:firstLine="630" w:firstLineChars="196"/>
        <w:rPr>
          <w:rFonts w:hint="default" w:ascii="仿宋_GB2312" w:eastAsia="仿宋_GB2312"/>
          <w:b/>
          <w:bCs/>
          <w:sz w:val="32"/>
        </w:rPr>
      </w:pPr>
      <w:r>
        <w:rPr>
          <w:rFonts w:ascii="仿宋" w:hAnsi="仿宋" w:eastAsia="仿宋" w:cs="仿宋"/>
          <w:b/>
          <w:sz w:val="32"/>
          <w:szCs w:val="32"/>
        </w:rPr>
        <w:t>1.</w:t>
      </w:r>
      <w:r>
        <w:rPr>
          <w:rFonts w:ascii="仿宋_GB2312" w:eastAsia="仿宋_GB2312"/>
          <w:b/>
          <w:bCs/>
          <w:sz w:val="32"/>
        </w:rPr>
        <w:t>单位职能职责</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（1）负责社会救助管理工作，包括城乡低保、城乡特困对象的审批，城乡低保、城乡特困生活补助发放及日常监督管理、负责临时救助对象的救助及临时救助资金的监督管理。</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（2）负责基层政权和社区建设，指导村级换届选举等各项工作。</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（3）指导婚姻登记管理工作，结、离婚证的颁发和收养登记管理。</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4）负责行政地名区划工作，承办与相邻县市区边界的勘定、边界争议的调处工作，承办规定权限内的地名命名、更名材料的审核和报批等事项，如街、巷、弄、小区的命名，路标、路牌的制作，建立和管理地名档案。</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（5）负责社会福利和社会事务工作。百岁老人、高龄老人生活补助的发放，孤儿的申报、审批、认定工作。孤儿生活费的监管和发放，养老机构行政审批和管理，殡葬事业的决策和管理。</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（6）负责做好生活无着的流浪乞讨人员的生活救助工作，包括返乡、医疗、生活等方面的救助。</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（7）负责社团登记管理和年检工作以及民办非企业单位的登记和年检工作。</w:t>
      </w:r>
    </w:p>
    <w:p>
      <w:pPr>
        <w:spacing w:line="560" w:lineRule="exact"/>
        <w:ind w:firstLine="615" w:firstLineChars="196"/>
        <w:rPr>
          <w:rFonts w:hint="default" w:ascii="仿宋" w:hAnsi="仿宋" w:eastAsia="仿宋" w:cs="仿宋"/>
          <w:spacing w:val="-3"/>
          <w:kern w:val="0"/>
          <w:sz w:val="32"/>
          <w:szCs w:val="32"/>
        </w:rPr>
      </w:pPr>
      <w:r>
        <w:rPr>
          <w:rFonts w:ascii="仿宋" w:hAnsi="仿宋" w:eastAsia="仿宋" w:cs="仿宋"/>
          <w:spacing w:val="-3"/>
          <w:kern w:val="0"/>
          <w:sz w:val="32"/>
          <w:szCs w:val="32"/>
        </w:rPr>
        <w:t>（8）承办县人民政府交办的其他事项。</w:t>
      </w:r>
    </w:p>
    <w:p>
      <w:pPr>
        <w:pStyle w:val="2"/>
        <w:ind w:left="420" w:firstLine="643"/>
        <w:rPr>
          <w:rFonts w:hint="default" w:ascii="仿宋_GB2312" w:eastAsia="仿宋_GB2312"/>
          <w:b/>
          <w:bCs/>
          <w:sz w:val="32"/>
        </w:rPr>
      </w:pPr>
      <w:r>
        <w:rPr>
          <w:rFonts w:ascii="仿宋_GB2312" w:eastAsia="仿宋_GB2312"/>
          <w:b/>
          <w:bCs/>
          <w:sz w:val="32"/>
        </w:rPr>
        <w:t>2.机构编制及人员构成</w:t>
      </w:r>
    </w:p>
    <w:p>
      <w:pPr>
        <w:pStyle w:val="2"/>
        <w:ind w:left="420" w:firstLine="628"/>
        <w:rPr>
          <w:rFonts w:hint="default" w:ascii="仿宋" w:hAnsi="仿宋" w:eastAsia="仿宋" w:cs="仿宋"/>
          <w:spacing w:val="-3"/>
          <w:kern w:val="0"/>
          <w:sz w:val="32"/>
          <w:szCs w:val="32"/>
        </w:rPr>
      </w:pPr>
      <w:r>
        <w:rPr>
          <w:rFonts w:ascii="仿宋" w:hAnsi="仿宋" w:eastAsia="仿宋" w:cs="仿宋"/>
          <w:spacing w:val="-3"/>
          <w:kern w:val="0"/>
          <w:sz w:val="32"/>
          <w:szCs w:val="32"/>
        </w:rPr>
        <w:t>（1）机构设置：县民政局设6个内设机构：①办公室（加挂政工法制股、规划财务股牌子）；②社会组织股挂行政审批股；③社会救助股（扶贫办公室）、信访、慈善事业促进和社会工作；④基层政权和社区治理股（区划地名股、革命老区办公室）；⑤养老服务和儿童福利股；⑥社会事务股（婚姻登记处）。</w:t>
      </w:r>
    </w:p>
    <w:p>
      <w:pPr>
        <w:pStyle w:val="2"/>
        <w:ind w:left="420" w:firstLine="628"/>
        <w:rPr>
          <w:rFonts w:hint="default" w:ascii="仿宋" w:hAnsi="仿宋" w:eastAsia="仿宋" w:cs="仿宋"/>
          <w:spacing w:val="-3"/>
          <w:kern w:val="0"/>
          <w:sz w:val="32"/>
          <w:szCs w:val="32"/>
        </w:rPr>
      </w:pPr>
      <w:r>
        <w:rPr>
          <w:rFonts w:ascii="仿宋" w:hAnsi="仿宋" w:eastAsia="仿宋" w:cs="仿宋"/>
          <w:spacing w:val="-3"/>
          <w:kern w:val="0"/>
          <w:sz w:val="32"/>
          <w:szCs w:val="32"/>
        </w:rPr>
        <w:t>（2）人员构成：我单位在职人员35人，退休人员23人，临时聘请人员4人。</w:t>
      </w:r>
    </w:p>
    <w:p>
      <w:pPr>
        <w:pStyle w:val="2"/>
        <w:ind w:leftChars="0" w:firstLine="643"/>
        <w:rPr>
          <w:rFonts w:hint="default" w:ascii="黑体" w:hAnsi="黑体" w:eastAsia="黑体" w:cs="黑体"/>
          <w:color w:val="000000"/>
          <w:kern w:val="0"/>
          <w:sz w:val="32"/>
          <w:szCs w:val="32"/>
        </w:rPr>
      </w:pPr>
      <w:r>
        <w:rPr>
          <w:rFonts w:ascii="楷体" w:hAnsi="楷体" w:eastAsia="楷体" w:cs="楷体"/>
          <w:b/>
          <w:bCs/>
          <w:color w:val="000000"/>
          <w:kern w:val="0"/>
          <w:sz w:val="32"/>
          <w:szCs w:val="32"/>
        </w:rPr>
        <w:t>（二）单位整体支出规模</w:t>
      </w:r>
    </w:p>
    <w:p>
      <w:pPr>
        <w:snapToGrid w:val="0"/>
        <w:spacing w:line="560" w:lineRule="exact"/>
        <w:ind w:firstLine="643" w:firstLineChars="200"/>
        <w:rPr>
          <w:rFonts w:hint="default" w:ascii="楷体_GB2312" w:hAnsi="仿宋" w:eastAsia="楷体_GB2312"/>
          <w:b/>
          <w:sz w:val="32"/>
          <w:szCs w:val="32"/>
        </w:rPr>
      </w:pPr>
      <w:r>
        <w:rPr>
          <w:rFonts w:ascii="楷体_GB2312" w:hAnsi="仿宋" w:eastAsia="楷体_GB2312"/>
          <w:b/>
          <w:sz w:val="32"/>
          <w:szCs w:val="32"/>
        </w:rPr>
        <w:t>1.收入支出预算安排情况</w:t>
      </w:r>
    </w:p>
    <w:tbl>
      <w:tblPr>
        <w:tblStyle w:val="7"/>
        <w:tblW w:w="11515" w:type="dxa"/>
        <w:tblInd w:w="-298" w:type="dxa"/>
        <w:tblLayout w:type="fixed"/>
        <w:tblCellMar>
          <w:top w:w="0" w:type="dxa"/>
          <w:left w:w="108" w:type="dxa"/>
          <w:bottom w:w="0" w:type="dxa"/>
          <w:right w:w="108" w:type="dxa"/>
        </w:tblCellMar>
      </w:tblPr>
      <w:tblGrid>
        <w:gridCol w:w="2092"/>
        <w:gridCol w:w="1710"/>
        <w:gridCol w:w="1705"/>
        <w:gridCol w:w="1415"/>
        <w:gridCol w:w="780"/>
        <w:gridCol w:w="3813"/>
      </w:tblGrid>
      <w:tr>
        <w:tblPrEx>
          <w:tblLayout w:type="fixed"/>
          <w:tblCellMar>
            <w:top w:w="0" w:type="dxa"/>
            <w:left w:w="108" w:type="dxa"/>
            <w:bottom w:w="0" w:type="dxa"/>
            <w:right w:w="108" w:type="dxa"/>
          </w:tblCellMar>
        </w:tblPrEx>
        <w:trPr>
          <w:trHeight w:val="312" w:hRule="atLeast"/>
        </w:trPr>
        <w:tc>
          <w:tcPr>
            <w:tcW w:w="2092"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指    标</w:t>
            </w:r>
          </w:p>
        </w:tc>
        <w:tc>
          <w:tcPr>
            <w:tcW w:w="171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本年度</w:t>
            </w:r>
          </w:p>
        </w:tc>
        <w:tc>
          <w:tcPr>
            <w:tcW w:w="170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上年度</w:t>
            </w:r>
          </w:p>
        </w:tc>
        <w:tc>
          <w:tcPr>
            <w:tcW w:w="141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比上年增减</w:t>
            </w:r>
          </w:p>
        </w:tc>
        <w:tc>
          <w:tcPr>
            <w:tcW w:w="780"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增减％</w:t>
            </w:r>
          </w:p>
        </w:tc>
        <w:tc>
          <w:tcPr>
            <w:tcW w:w="3813" w:type="dxa"/>
            <w:vMerge w:val="restart"/>
            <w:tcBorders>
              <w:top w:val="single" w:color="000000" w:sz="4" w:space="0"/>
              <w:left w:val="nil"/>
              <w:bottom w:val="single" w:color="000000" w:sz="4" w:space="0"/>
              <w:right w:val="single" w:color="000000" w:sz="8"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原因</w:t>
            </w:r>
          </w:p>
        </w:tc>
      </w:tr>
      <w:tr>
        <w:tblPrEx>
          <w:tblLayout w:type="fixed"/>
          <w:tblCellMar>
            <w:top w:w="0" w:type="dxa"/>
            <w:left w:w="108" w:type="dxa"/>
            <w:bottom w:w="0" w:type="dxa"/>
            <w:right w:w="108" w:type="dxa"/>
          </w:tblCellMar>
        </w:tblPrEx>
        <w:trPr>
          <w:trHeight w:val="312" w:hRule="atLeast"/>
        </w:trPr>
        <w:tc>
          <w:tcPr>
            <w:tcW w:w="2092"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71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70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41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780"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3813" w:type="dxa"/>
            <w:vMerge w:val="continue"/>
            <w:tcBorders>
              <w:top w:val="single" w:color="000000" w:sz="4" w:space="0"/>
              <w:left w:val="nil"/>
              <w:bottom w:val="single" w:color="000000" w:sz="4" w:space="0"/>
              <w:right w:val="single" w:color="000000" w:sz="8" w:space="0"/>
            </w:tcBorders>
            <w:shd w:val="clear" w:color="FFFFFF" w:fill="C0C0C0"/>
            <w:noWrap/>
            <w:vAlign w:val="center"/>
          </w:tcPr>
          <w:p>
            <w:pPr>
              <w:jc w:val="center"/>
              <w:rPr>
                <w:rFonts w:hint="default"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栏    次 </w:t>
            </w:r>
          </w:p>
        </w:tc>
        <w:tc>
          <w:tcPr>
            <w:tcW w:w="171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1</w:t>
            </w:r>
          </w:p>
        </w:tc>
        <w:tc>
          <w:tcPr>
            <w:tcW w:w="170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w:t>
            </w:r>
          </w:p>
        </w:tc>
        <w:tc>
          <w:tcPr>
            <w:tcW w:w="141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w:t>
            </w:r>
          </w:p>
        </w:tc>
        <w:tc>
          <w:tcPr>
            <w:tcW w:w="78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w:t>
            </w:r>
          </w:p>
        </w:tc>
        <w:tc>
          <w:tcPr>
            <w:tcW w:w="3813" w:type="dxa"/>
            <w:tcBorders>
              <w:top w:val="nil"/>
              <w:left w:val="nil"/>
              <w:bottom w:val="single" w:color="000000" w:sz="4" w:space="0"/>
              <w:right w:val="single" w:color="000000" w:sz="8"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w:t>
            </w: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 6.年初预算数</w:t>
            </w:r>
          </w:p>
        </w:tc>
        <w:tc>
          <w:tcPr>
            <w:tcW w:w="17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w:t>
            </w:r>
          </w:p>
        </w:tc>
        <w:tc>
          <w:tcPr>
            <w:tcW w:w="3813" w:type="dxa"/>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w:t>
            </w: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本年收入合计</w:t>
            </w:r>
          </w:p>
        </w:tc>
        <w:tc>
          <w:tcPr>
            <w:tcW w:w="17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48,470,896.25</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53,754,326.18</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-5,283,429.93</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-9.83</w:t>
            </w:r>
          </w:p>
        </w:tc>
        <w:tc>
          <w:tcPr>
            <w:tcW w:w="3813" w:type="dxa"/>
            <w:tcBorders>
              <w:top w:val="nil"/>
              <w:left w:val="nil"/>
              <w:bottom w:val="single" w:color="000000" w:sz="4"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本年支出合计</w:t>
            </w:r>
          </w:p>
        </w:tc>
        <w:tc>
          <w:tcPr>
            <w:tcW w:w="17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48,470,896.25</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53,754,326.18</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-5,283,429.93</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-9.83</w:t>
            </w:r>
          </w:p>
        </w:tc>
        <w:tc>
          <w:tcPr>
            <w:tcW w:w="3813" w:type="dxa"/>
            <w:tcBorders>
              <w:top w:val="nil"/>
              <w:left w:val="nil"/>
              <w:bottom w:val="single" w:color="000000" w:sz="4"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年末结转和结余</w:t>
            </w:r>
          </w:p>
        </w:tc>
        <w:tc>
          <w:tcPr>
            <w:tcW w:w="171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780"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3813" w:type="dxa"/>
            <w:tcBorders>
              <w:top w:val="nil"/>
              <w:left w:val="nil"/>
              <w:bottom w:val="single" w:color="000000" w:sz="4"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7.全年预算数</w:t>
            </w:r>
          </w:p>
        </w:tc>
        <w:tc>
          <w:tcPr>
            <w:tcW w:w="17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3813" w:type="dxa"/>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本年收入合计</w:t>
            </w:r>
          </w:p>
        </w:tc>
        <w:tc>
          <w:tcPr>
            <w:tcW w:w="17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83,908,541.44</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121,128,970.32</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-37,220,428.88</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-30.73</w:t>
            </w:r>
          </w:p>
        </w:tc>
        <w:tc>
          <w:tcPr>
            <w:tcW w:w="3813"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主要是减少了公墓区建设资金收入</w:t>
            </w: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本年支出合计</w:t>
            </w:r>
          </w:p>
        </w:tc>
        <w:tc>
          <w:tcPr>
            <w:tcW w:w="171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83,908,541.44</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121,128,970.32</w:t>
            </w:r>
          </w:p>
        </w:tc>
        <w:tc>
          <w:tcPr>
            <w:tcW w:w="14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-37,220,428.88</w:t>
            </w:r>
          </w:p>
        </w:tc>
        <w:tc>
          <w:tcPr>
            <w:tcW w:w="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-30.73</w:t>
            </w:r>
          </w:p>
        </w:tc>
        <w:tc>
          <w:tcPr>
            <w:tcW w:w="3813"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主要是减少了公墓区建设资金支出</w:t>
            </w:r>
          </w:p>
        </w:tc>
      </w:tr>
      <w:tr>
        <w:tblPrEx>
          <w:tblLayout w:type="fixed"/>
          <w:tblCellMar>
            <w:top w:w="0" w:type="dxa"/>
            <w:left w:w="108" w:type="dxa"/>
            <w:bottom w:w="0" w:type="dxa"/>
            <w:right w:w="108" w:type="dxa"/>
          </w:tblCellMar>
        </w:tblPrEx>
        <w:trPr>
          <w:trHeight w:val="308" w:hRule="atLeast"/>
        </w:trPr>
        <w:tc>
          <w:tcPr>
            <w:tcW w:w="2092"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      年末结转和结余</w:t>
            </w:r>
          </w:p>
        </w:tc>
        <w:tc>
          <w:tcPr>
            <w:tcW w:w="1710" w:type="dxa"/>
            <w:tcBorders>
              <w:top w:val="nil"/>
              <w:left w:val="nil"/>
              <w:bottom w:val="single" w:color="000000" w:sz="8"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70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141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780" w:type="dxa"/>
            <w:tcBorders>
              <w:top w:val="nil"/>
              <w:left w:val="nil"/>
              <w:bottom w:val="single" w:color="000000" w:sz="8"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3813" w:type="dxa"/>
            <w:tcBorders>
              <w:top w:val="nil"/>
              <w:left w:val="nil"/>
              <w:bottom w:val="single" w:color="000000" w:sz="8"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bl>
    <w:p>
      <w:pPr>
        <w:snapToGrid w:val="0"/>
        <w:spacing w:line="560" w:lineRule="exact"/>
        <w:ind w:firstLine="643" w:firstLineChars="200"/>
        <w:rPr>
          <w:rFonts w:hint="default" w:ascii="楷体_GB2312" w:hAnsi="仿宋" w:eastAsia="楷体_GB2312"/>
          <w:b/>
          <w:sz w:val="32"/>
          <w:szCs w:val="32"/>
        </w:rPr>
      </w:pPr>
      <w:r>
        <w:rPr>
          <w:rFonts w:ascii="楷体_GB2312" w:hAnsi="仿宋" w:eastAsia="楷体_GB2312"/>
          <w:b/>
          <w:sz w:val="32"/>
          <w:szCs w:val="32"/>
        </w:rPr>
        <w:t>2.收入支出预算执行情况。</w:t>
      </w:r>
    </w:p>
    <w:p>
      <w:pPr>
        <w:snapToGrid w:val="0"/>
        <w:spacing w:line="560" w:lineRule="exact"/>
        <w:ind w:firstLine="643" w:firstLineChars="200"/>
        <w:rPr>
          <w:rFonts w:hint="default" w:ascii="仿宋_GB2312" w:hAnsi="仿宋" w:eastAsia="仿宋_GB2312"/>
          <w:b/>
          <w:sz w:val="32"/>
          <w:szCs w:val="32"/>
        </w:rPr>
      </w:pPr>
      <w:r>
        <w:rPr>
          <w:rFonts w:ascii="仿宋_GB2312" w:hAnsi="仿宋" w:eastAsia="仿宋_GB2312"/>
          <w:b/>
          <w:sz w:val="32"/>
          <w:szCs w:val="32"/>
        </w:rPr>
        <w:t>（1）收入支出与预算对比分析。</w:t>
      </w: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①</w:t>
      </w:r>
      <w:r>
        <w:rPr>
          <w:rFonts w:ascii="仿宋_GB2312" w:hAnsi="仿宋" w:eastAsia="仿宋_GB2312"/>
          <w:sz w:val="32"/>
          <w:szCs w:val="32"/>
        </w:rPr>
        <w:t>预、决算差异情况，可分收入支出功能科目、分单位、分收入支出具体项目逐项对比。</w:t>
      </w:r>
    </w:p>
    <w:tbl>
      <w:tblPr>
        <w:tblStyle w:val="7"/>
        <w:tblW w:w="9201" w:type="dxa"/>
        <w:tblInd w:w="93" w:type="dxa"/>
        <w:tblLayout w:type="fixed"/>
        <w:tblCellMar>
          <w:top w:w="0" w:type="dxa"/>
          <w:left w:w="108" w:type="dxa"/>
          <w:bottom w:w="0" w:type="dxa"/>
          <w:right w:w="108" w:type="dxa"/>
        </w:tblCellMar>
      </w:tblPr>
      <w:tblGrid>
        <w:gridCol w:w="3066"/>
        <w:gridCol w:w="767"/>
        <w:gridCol w:w="1648"/>
        <w:gridCol w:w="1815"/>
        <w:gridCol w:w="1905"/>
      </w:tblGrid>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项目</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行次</w:t>
            </w:r>
          </w:p>
        </w:tc>
        <w:tc>
          <w:tcPr>
            <w:tcW w:w="1648"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年初预算数</w:t>
            </w:r>
          </w:p>
        </w:tc>
        <w:tc>
          <w:tcPr>
            <w:tcW w:w="181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全年预算数</w:t>
            </w:r>
          </w:p>
        </w:tc>
        <w:tc>
          <w:tcPr>
            <w:tcW w:w="190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栏次</w:t>
            </w:r>
          </w:p>
        </w:tc>
        <w:tc>
          <w:tcPr>
            <w:tcW w:w="767" w:type="dxa"/>
            <w:tcBorders>
              <w:top w:val="nil"/>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648"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1</w:t>
            </w:r>
          </w:p>
        </w:tc>
        <w:tc>
          <w:tcPr>
            <w:tcW w:w="181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w:t>
            </w:r>
          </w:p>
        </w:tc>
        <w:tc>
          <w:tcPr>
            <w:tcW w:w="190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一、一般公共预算财政拨款收入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1</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43,922,896.25</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40,449,199.37</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40,449,199.37</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二、政府性基金预算财政拨款收入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4,548,000.00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43,459,342.07</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43,459,342.07</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三、国有资本经营预算财政拨款收入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四、上级补助收入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五、事业收入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六、经营收入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6</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七、附属单位上缴收入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7</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八、其他收入</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8</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b/>
                <w:bCs/>
                <w:color w:val="000000"/>
                <w:sz w:val="22"/>
                <w:szCs w:val="22"/>
              </w:rPr>
            </w:pPr>
            <w:r>
              <w:rPr>
                <w:rFonts w:ascii="宋体" w:hAnsi="宋体" w:eastAsia="宋体" w:cs="宋体"/>
                <w:b/>
                <w:bCs/>
                <w:color w:val="000000"/>
                <w:kern w:val="0"/>
                <w:sz w:val="22"/>
                <w:szCs w:val="22"/>
              </w:rPr>
              <w:t>本年收入合计</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27</w:t>
            </w:r>
          </w:p>
        </w:tc>
        <w:tc>
          <w:tcPr>
            <w:tcW w:w="164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48,470,896.25</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83,908,541.44</w:t>
            </w: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83,908,541.44</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    使用非财政拨款结余</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28</w:t>
            </w:r>
          </w:p>
        </w:tc>
        <w:tc>
          <w:tcPr>
            <w:tcW w:w="16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szCs w:val="22"/>
              </w:rPr>
            </w:pP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szCs w:val="22"/>
              </w:rPr>
            </w:pPr>
          </w:p>
        </w:tc>
        <w:tc>
          <w:tcPr>
            <w:tcW w:w="190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    年初结转和结余</w:t>
            </w: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29</w:t>
            </w:r>
          </w:p>
        </w:tc>
        <w:tc>
          <w:tcPr>
            <w:tcW w:w="1648"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szCs w:val="22"/>
              </w:rPr>
            </w:pP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szCs w:val="22"/>
              </w:rPr>
            </w:pPr>
          </w:p>
        </w:tc>
        <w:tc>
          <w:tcPr>
            <w:tcW w:w="19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default" w:ascii="宋体" w:hAnsi="宋体" w:eastAsia="宋体" w:cs="宋体"/>
                <w:color w:val="000000"/>
                <w:sz w:val="22"/>
                <w:szCs w:val="22"/>
              </w:rPr>
            </w:pPr>
          </w:p>
        </w:tc>
        <w:tc>
          <w:tcPr>
            <w:tcW w:w="7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30</w:t>
            </w:r>
          </w:p>
        </w:tc>
        <w:tc>
          <w:tcPr>
            <w:tcW w:w="1648" w:type="dxa"/>
            <w:tcBorders>
              <w:top w:val="nil"/>
              <w:left w:val="nil"/>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szCs w:val="22"/>
              </w:rPr>
            </w:pPr>
          </w:p>
        </w:tc>
        <w:tc>
          <w:tcPr>
            <w:tcW w:w="1815" w:type="dxa"/>
            <w:tcBorders>
              <w:top w:val="nil"/>
              <w:left w:val="nil"/>
              <w:bottom w:val="single" w:color="000000" w:sz="4" w:space="0"/>
              <w:right w:val="single" w:color="000000" w:sz="4" w:space="0"/>
            </w:tcBorders>
            <w:shd w:val="clear" w:color="auto" w:fill="auto"/>
            <w:noWrap/>
            <w:vAlign w:val="center"/>
          </w:tcPr>
          <w:p>
            <w:pPr>
              <w:jc w:val="center"/>
              <w:rPr>
                <w:rFonts w:hint="default" w:ascii="宋体" w:hAnsi="宋体" w:eastAsia="宋体" w:cs="宋体"/>
                <w:color w:val="000000"/>
                <w:sz w:val="22"/>
                <w:szCs w:val="22"/>
              </w:rPr>
            </w:pPr>
          </w:p>
        </w:tc>
        <w:tc>
          <w:tcPr>
            <w:tcW w:w="190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3066"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textAlignment w:val="center"/>
              <w:rPr>
                <w:rFonts w:hint="default" w:ascii="宋体" w:hAnsi="宋体" w:eastAsia="宋体" w:cs="宋体"/>
                <w:b/>
                <w:bCs/>
                <w:color w:val="000000"/>
                <w:sz w:val="22"/>
                <w:szCs w:val="22"/>
              </w:rPr>
            </w:pPr>
            <w:r>
              <w:rPr>
                <w:rFonts w:ascii="宋体" w:hAnsi="宋体" w:eastAsia="宋体" w:cs="宋体"/>
                <w:b/>
                <w:bCs/>
                <w:color w:val="000000"/>
                <w:kern w:val="0"/>
                <w:sz w:val="22"/>
                <w:szCs w:val="22"/>
              </w:rPr>
              <w:t>总计</w:t>
            </w:r>
          </w:p>
        </w:tc>
        <w:tc>
          <w:tcPr>
            <w:tcW w:w="767" w:type="dxa"/>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31</w:t>
            </w:r>
          </w:p>
        </w:tc>
        <w:tc>
          <w:tcPr>
            <w:tcW w:w="1648"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48,470,896.25</w:t>
            </w:r>
          </w:p>
        </w:tc>
        <w:tc>
          <w:tcPr>
            <w:tcW w:w="181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83,908,541.44</w:t>
            </w:r>
          </w:p>
        </w:tc>
        <w:tc>
          <w:tcPr>
            <w:tcW w:w="190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83,908,541.44</w:t>
            </w:r>
          </w:p>
        </w:tc>
      </w:tr>
    </w:tbl>
    <w:p>
      <w:pPr>
        <w:snapToGrid w:val="0"/>
        <w:rPr>
          <w:rFonts w:hint="default" w:ascii="仿宋_GB2312" w:hAnsi="仿宋" w:eastAsia="仿宋_GB2312"/>
          <w:sz w:val="32"/>
          <w:szCs w:val="32"/>
        </w:rPr>
      </w:pPr>
    </w:p>
    <w:p>
      <w:pPr>
        <w:snapToGrid w:val="0"/>
        <w:rPr>
          <w:rFonts w:hint="default" w:ascii="仿宋_GB2312" w:hAnsi="仿宋" w:eastAsia="仿宋_GB2312"/>
          <w:sz w:val="32"/>
          <w:szCs w:val="32"/>
        </w:rPr>
      </w:pPr>
    </w:p>
    <w:tbl>
      <w:tblPr>
        <w:tblStyle w:val="7"/>
        <w:tblW w:w="8330" w:type="dxa"/>
        <w:tblInd w:w="93" w:type="dxa"/>
        <w:tblLayout w:type="fixed"/>
        <w:tblCellMar>
          <w:top w:w="0" w:type="dxa"/>
          <w:left w:w="108" w:type="dxa"/>
          <w:bottom w:w="0" w:type="dxa"/>
          <w:right w:w="108" w:type="dxa"/>
        </w:tblCellMar>
      </w:tblPr>
      <w:tblGrid>
        <w:gridCol w:w="3516"/>
        <w:gridCol w:w="656"/>
        <w:gridCol w:w="1386"/>
        <w:gridCol w:w="1386"/>
        <w:gridCol w:w="1386"/>
      </w:tblGrid>
      <w:tr>
        <w:tblPrEx>
          <w:tblLayout w:type="fixed"/>
          <w:tblCellMar>
            <w:top w:w="0" w:type="dxa"/>
            <w:left w:w="108" w:type="dxa"/>
            <w:bottom w:w="0" w:type="dxa"/>
            <w:right w:w="108" w:type="dxa"/>
          </w:tblCellMar>
        </w:tblPrEx>
        <w:trPr>
          <w:trHeight w:val="308" w:hRule="atLeast"/>
        </w:trPr>
        <w:tc>
          <w:tcPr>
            <w:tcW w:w="8330"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                                     支出</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项目(按功能分类)</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行次</w:t>
            </w:r>
          </w:p>
        </w:tc>
        <w:tc>
          <w:tcPr>
            <w:tcW w:w="138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年初预算数</w:t>
            </w:r>
          </w:p>
        </w:tc>
        <w:tc>
          <w:tcPr>
            <w:tcW w:w="138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全年预算数</w:t>
            </w:r>
          </w:p>
        </w:tc>
        <w:tc>
          <w:tcPr>
            <w:tcW w:w="138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栏次</w:t>
            </w:r>
          </w:p>
        </w:tc>
        <w:tc>
          <w:tcPr>
            <w:tcW w:w="656" w:type="dxa"/>
            <w:tcBorders>
              <w:top w:val="nil"/>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38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w:t>
            </w:r>
          </w:p>
        </w:tc>
        <w:tc>
          <w:tcPr>
            <w:tcW w:w="138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w:t>
            </w:r>
          </w:p>
        </w:tc>
        <w:tc>
          <w:tcPr>
            <w:tcW w:w="138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一、一般公共服务支出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32</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二、外交支出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33</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三、国防支出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34</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四、公共安全支出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35</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五、教育支出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36</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44,833.33</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44,833.33</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六、科学技术支出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37</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七、文化旅游体育与传媒支出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38</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八、社会保障和就业支出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39</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43,458,608.08</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39,982,401.34</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39,982,401.34</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九、卫生健康支出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195,135.61</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176,121.70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176,121.70</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十、节能环保支出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41</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十一、城乡社区支出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42</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1,548,000.00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1,933,772.00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1,933,772.00</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十二、农林水支出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43</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十三、交通运输支出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44</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十四、资源勘探工业信息等支出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45</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十五、商业服务业等支出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46</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十六、金融支出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47</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十七、援助其他地区支出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48</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十八、自然资源海洋气象等支出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49</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十九、住房保障支出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269,152.56</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245,843.00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245,843.00</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二十、粮油物资储备支出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51</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二十一、国有资本经营预算支出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52</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二十二、灾害防治及应急管理支出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53</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二十三、其他支出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54</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3,000,000.00</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41,525,570.07</w:t>
            </w:r>
          </w:p>
        </w:tc>
        <w:tc>
          <w:tcPr>
            <w:tcW w:w="138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22"/>
                <w:szCs w:val="22"/>
              </w:rPr>
              <w:t>41,525,570.07</w:t>
            </w: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二十四、债务还本支出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55</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二十五、债务付息支出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56</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35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二十六、抗疫特别国债安排的支出</w:t>
            </w:r>
          </w:p>
        </w:tc>
        <w:tc>
          <w:tcPr>
            <w:tcW w:w="6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57</w:t>
            </w: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386"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r>
    </w:tbl>
    <w:p>
      <w:pPr>
        <w:snapToGrid w:val="0"/>
        <w:rPr>
          <w:rFonts w:hint="default" w:ascii="仿宋_GB2312" w:hAnsi="仿宋" w:eastAsia="仿宋_GB2312"/>
          <w:sz w:val="32"/>
          <w:szCs w:val="32"/>
        </w:rPr>
      </w:pP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②</w:t>
      </w:r>
      <w:r>
        <w:rPr>
          <w:rFonts w:ascii="仿宋_GB2312" w:hAnsi="仿宋" w:eastAsia="仿宋_GB2312"/>
          <w:sz w:val="32"/>
          <w:szCs w:val="32"/>
        </w:rPr>
        <w:t>差异原因分析。差异较大的应分析到具体收入支出功能科目和具体单位。</w:t>
      </w:r>
    </w:p>
    <w:p>
      <w:pPr>
        <w:snapToGrid w:val="0"/>
        <w:spacing w:line="560" w:lineRule="exact"/>
        <w:ind w:firstLine="640" w:firstLineChars="200"/>
        <w:rPr>
          <w:rFonts w:hint="default" w:ascii="仿宋_GB2312" w:hAnsi="仿宋" w:eastAsia="仿宋_GB2312"/>
          <w:sz w:val="32"/>
          <w:szCs w:val="32"/>
        </w:rPr>
      </w:pPr>
      <w:r>
        <w:rPr>
          <w:rFonts w:ascii="仿宋_GB2312" w:hAnsi="仿宋" w:eastAsia="仿宋_GB2312"/>
          <w:sz w:val="32"/>
          <w:szCs w:val="32"/>
        </w:rPr>
        <w:t>本年度收入决算数8390.85万元，比年初预算数4847.09万元增加3543.76万元，增加的主要原因是</w:t>
      </w:r>
      <w:r>
        <w:rPr>
          <w:rFonts w:ascii="仿宋_GB2312" w:hAnsi="仿宋" w:eastAsia="仿宋_GB2312" w:cs="仿宋"/>
          <w:color w:val="000000"/>
          <w:sz w:val="32"/>
          <w:szCs w:val="32"/>
        </w:rPr>
        <w:t>增加老年养护中心建设资金</w:t>
      </w:r>
      <w:r>
        <w:rPr>
          <w:rFonts w:ascii="仿宋_GB2312" w:hAnsi="仿宋" w:eastAsia="仿宋_GB2312"/>
          <w:sz w:val="32"/>
          <w:szCs w:val="32"/>
        </w:rPr>
        <w:t>。一般公共预算财政拨款收入决算数4044.92万元，比年初预算数4392.29万元减少347.37万元，占比92.09%，变动主要原因是上级专项资金到位减少及部分资金拨付没有到位；政府性基金预算财政拨款收入决算数4345.93万元，比年初预算数454.8万元增加3891.13万元，变动主要原因是</w:t>
      </w:r>
      <w:r>
        <w:rPr>
          <w:rFonts w:ascii="仿宋_GB2312" w:hAnsi="仿宋" w:eastAsia="仿宋_GB2312" w:cs="仿宋"/>
          <w:color w:val="000000"/>
          <w:sz w:val="32"/>
          <w:szCs w:val="32"/>
        </w:rPr>
        <w:t>增加老年养护中心建设资金</w:t>
      </w:r>
      <w:r>
        <w:rPr>
          <w:rFonts w:ascii="仿宋_GB2312" w:hAnsi="仿宋" w:eastAsia="仿宋_GB2312"/>
          <w:sz w:val="32"/>
          <w:szCs w:val="32"/>
        </w:rPr>
        <w:t>。</w:t>
      </w:r>
    </w:p>
    <w:p>
      <w:pPr>
        <w:snapToGrid w:val="0"/>
        <w:spacing w:line="560" w:lineRule="exact"/>
        <w:ind w:firstLine="643" w:firstLineChars="200"/>
        <w:rPr>
          <w:rFonts w:hint="default" w:ascii="仿宋_GB2312" w:hAnsi="仿宋" w:eastAsia="仿宋_GB2312"/>
          <w:b/>
          <w:sz w:val="32"/>
          <w:szCs w:val="32"/>
        </w:rPr>
      </w:pPr>
      <w:r>
        <w:rPr>
          <w:rFonts w:ascii="仿宋_GB2312" w:hAnsi="仿宋" w:eastAsia="仿宋_GB2312"/>
          <w:b/>
          <w:sz w:val="32"/>
          <w:szCs w:val="32"/>
        </w:rPr>
        <w:t>（2）收入支出结构分析。</w:t>
      </w: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①</w:t>
      </w:r>
      <w:r>
        <w:rPr>
          <w:rFonts w:ascii="仿宋_GB2312" w:hAnsi="仿宋" w:eastAsia="仿宋_GB2312"/>
          <w:sz w:val="32"/>
          <w:szCs w:val="32"/>
        </w:rPr>
        <w:t>各项收入占总收入的比重，各项支出占总支出的比重。</w:t>
      </w:r>
    </w:p>
    <w:p>
      <w:pPr>
        <w:snapToGrid w:val="0"/>
        <w:spacing w:line="560" w:lineRule="exact"/>
        <w:ind w:firstLine="640" w:firstLineChars="200"/>
        <w:rPr>
          <w:rFonts w:hint="default" w:ascii="仿宋_GB2312" w:hAnsi="仿宋" w:eastAsia="仿宋_GB2312"/>
          <w:sz w:val="32"/>
          <w:szCs w:val="32"/>
        </w:rPr>
      </w:pPr>
      <w:r>
        <w:rPr>
          <w:rFonts w:ascii="仿宋_GB2312" w:hAnsi="仿宋" w:eastAsia="仿宋_GB2312"/>
          <w:sz w:val="32"/>
          <w:szCs w:val="32"/>
        </w:rPr>
        <w:t>本年度收入决算数8390.85万元，其中：一般公共预算财政拨款收入决算数4044.92万元，占比48.21%；政府性基金预算财政拨款收入决算数4345.93万元，占比51.79%。</w:t>
      </w:r>
    </w:p>
    <w:p>
      <w:pPr>
        <w:snapToGrid w:val="0"/>
        <w:spacing w:line="560" w:lineRule="exact"/>
        <w:ind w:firstLine="640" w:firstLineChars="200"/>
        <w:rPr>
          <w:rFonts w:hint="default" w:ascii="仿宋_GB2312" w:hAnsi="仿宋" w:eastAsia="仿宋_GB2312"/>
          <w:sz w:val="32"/>
          <w:szCs w:val="32"/>
        </w:rPr>
      </w:pPr>
      <w:r>
        <w:rPr>
          <w:rFonts w:ascii="仿宋_GB2312" w:hAnsi="仿宋" w:eastAsia="仿宋_GB2312"/>
          <w:sz w:val="32"/>
          <w:szCs w:val="32"/>
        </w:rPr>
        <w:t>本年度支出决算数8390.85万元，其中：教育支出4.48万元，占比0.05%；社会保障和就业支出决算数3998.24万元，占比47.65%；卫生健康支出决算数17.61万元，占比0.21%；城乡社区支出决算数193.38万元，占比2.3%；住房保障支出决算数24.58万元，占比0.29%；其他支出决算数4152.56万元，占比49.5%。</w:t>
      </w: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②</w:t>
      </w:r>
      <w:r>
        <w:rPr>
          <w:rFonts w:ascii="仿宋_GB2312" w:hAnsi="仿宋" w:eastAsia="仿宋_GB2312"/>
          <w:sz w:val="32"/>
          <w:szCs w:val="32"/>
        </w:rPr>
        <w:t>收入支出与上年度对比情况及原因分析。</w:t>
      </w:r>
    </w:p>
    <w:tbl>
      <w:tblPr>
        <w:tblStyle w:val="7"/>
        <w:tblW w:w="10123" w:type="dxa"/>
        <w:tblInd w:w="93" w:type="dxa"/>
        <w:tblLayout w:type="fixed"/>
        <w:tblCellMar>
          <w:top w:w="0" w:type="dxa"/>
          <w:left w:w="108" w:type="dxa"/>
          <w:bottom w:w="0" w:type="dxa"/>
          <w:right w:w="108" w:type="dxa"/>
        </w:tblCellMar>
      </w:tblPr>
      <w:tblGrid>
        <w:gridCol w:w="1761"/>
        <w:gridCol w:w="1485"/>
        <w:gridCol w:w="1575"/>
        <w:gridCol w:w="1485"/>
        <w:gridCol w:w="975"/>
        <w:gridCol w:w="2842"/>
      </w:tblGrid>
      <w:tr>
        <w:tblPrEx>
          <w:tblLayout w:type="fixed"/>
          <w:tblCellMar>
            <w:top w:w="0" w:type="dxa"/>
            <w:left w:w="108" w:type="dxa"/>
            <w:bottom w:w="0" w:type="dxa"/>
            <w:right w:w="108" w:type="dxa"/>
          </w:tblCellMar>
        </w:tblPrEx>
        <w:trPr>
          <w:trHeight w:val="312" w:hRule="atLeast"/>
        </w:trPr>
        <w:tc>
          <w:tcPr>
            <w:tcW w:w="1761"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指    标</w:t>
            </w:r>
          </w:p>
        </w:tc>
        <w:tc>
          <w:tcPr>
            <w:tcW w:w="148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本年度</w:t>
            </w:r>
          </w:p>
        </w:tc>
        <w:tc>
          <w:tcPr>
            <w:tcW w:w="157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上年度</w:t>
            </w:r>
          </w:p>
        </w:tc>
        <w:tc>
          <w:tcPr>
            <w:tcW w:w="148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比上年增减</w:t>
            </w:r>
          </w:p>
        </w:tc>
        <w:tc>
          <w:tcPr>
            <w:tcW w:w="975"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增减％</w:t>
            </w:r>
          </w:p>
        </w:tc>
        <w:tc>
          <w:tcPr>
            <w:tcW w:w="2842" w:type="dxa"/>
            <w:vMerge w:val="restart"/>
            <w:tcBorders>
              <w:top w:val="single" w:color="000000" w:sz="4" w:space="0"/>
              <w:left w:val="nil"/>
              <w:bottom w:val="single" w:color="000000" w:sz="4" w:space="0"/>
              <w:right w:val="single" w:color="000000" w:sz="8"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原因</w:t>
            </w:r>
          </w:p>
        </w:tc>
      </w:tr>
      <w:tr>
        <w:tblPrEx>
          <w:tblLayout w:type="fixed"/>
          <w:tblCellMar>
            <w:top w:w="0" w:type="dxa"/>
            <w:left w:w="108" w:type="dxa"/>
            <w:bottom w:w="0" w:type="dxa"/>
            <w:right w:w="108" w:type="dxa"/>
          </w:tblCellMar>
        </w:tblPrEx>
        <w:trPr>
          <w:trHeight w:val="312" w:hRule="atLeast"/>
        </w:trPr>
        <w:tc>
          <w:tcPr>
            <w:tcW w:w="1761" w:type="dxa"/>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48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57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148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975"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default" w:ascii="宋体" w:hAnsi="宋体" w:eastAsia="宋体" w:cs="宋体"/>
                <w:color w:val="000000"/>
                <w:sz w:val="22"/>
                <w:szCs w:val="22"/>
              </w:rPr>
            </w:pPr>
          </w:p>
        </w:tc>
        <w:tc>
          <w:tcPr>
            <w:tcW w:w="2842" w:type="dxa"/>
            <w:vMerge w:val="continue"/>
            <w:tcBorders>
              <w:top w:val="single" w:color="000000" w:sz="4" w:space="0"/>
              <w:left w:val="nil"/>
              <w:bottom w:val="single" w:color="000000" w:sz="4" w:space="0"/>
              <w:right w:val="single" w:color="000000" w:sz="8" w:space="0"/>
            </w:tcBorders>
            <w:shd w:val="clear" w:color="FFFFFF" w:fill="C0C0C0"/>
            <w:noWrap/>
            <w:vAlign w:val="center"/>
          </w:tcPr>
          <w:p>
            <w:pPr>
              <w:jc w:val="center"/>
              <w:rPr>
                <w:rFonts w:hint="default"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栏    次 </w:t>
            </w:r>
          </w:p>
        </w:tc>
        <w:tc>
          <w:tcPr>
            <w:tcW w:w="148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1</w:t>
            </w:r>
          </w:p>
        </w:tc>
        <w:tc>
          <w:tcPr>
            <w:tcW w:w="157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2</w:t>
            </w:r>
          </w:p>
        </w:tc>
        <w:tc>
          <w:tcPr>
            <w:tcW w:w="148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3</w:t>
            </w:r>
          </w:p>
        </w:tc>
        <w:tc>
          <w:tcPr>
            <w:tcW w:w="97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4</w:t>
            </w:r>
          </w:p>
        </w:tc>
        <w:tc>
          <w:tcPr>
            <w:tcW w:w="2842" w:type="dxa"/>
            <w:tcBorders>
              <w:top w:val="nil"/>
              <w:left w:val="nil"/>
              <w:bottom w:val="single" w:color="000000" w:sz="4" w:space="0"/>
              <w:right w:val="single" w:color="000000" w:sz="8" w:space="0"/>
            </w:tcBorders>
            <w:shd w:val="clear" w:color="FFFFFF" w:fill="C0C0C0"/>
            <w:noWrap/>
            <w:vAlign w:val="center"/>
          </w:tcPr>
          <w:p>
            <w:pPr>
              <w:widowControl/>
              <w:jc w:val="center"/>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5</w:t>
            </w: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6.年初预算数</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2842" w:type="dxa"/>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本年收入合计</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48,470,896.25</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53,754,326.18</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-5,283,429.93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-9.83</w:t>
            </w:r>
          </w:p>
        </w:tc>
        <w:tc>
          <w:tcPr>
            <w:tcW w:w="2842" w:type="dxa"/>
            <w:tcBorders>
              <w:top w:val="nil"/>
              <w:left w:val="nil"/>
              <w:bottom w:val="single" w:color="000000" w:sz="4"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本年支出合计</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48,470,896.25</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53,754,326.18</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-5,283,429.93</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-9.83</w:t>
            </w:r>
          </w:p>
        </w:tc>
        <w:tc>
          <w:tcPr>
            <w:tcW w:w="2842" w:type="dxa"/>
            <w:tcBorders>
              <w:top w:val="nil"/>
              <w:left w:val="nil"/>
              <w:bottom w:val="single" w:color="000000" w:sz="4"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年末结转和结余</w:t>
            </w:r>
          </w:p>
        </w:tc>
        <w:tc>
          <w:tcPr>
            <w:tcW w:w="148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default" w:ascii="宋体" w:hAnsi="宋体" w:eastAsia="宋体" w:cs="宋体"/>
                <w:color w:val="000000"/>
                <w:sz w:val="18"/>
                <w:szCs w:val="18"/>
              </w:rPr>
            </w:pPr>
          </w:p>
        </w:tc>
        <w:tc>
          <w:tcPr>
            <w:tcW w:w="2842" w:type="dxa"/>
            <w:tcBorders>
              <w:top w:val="nil"/>
              <w:left w:val="nil"/>
              <w:bottom w:val="single" w:color="000000" w:sz="4"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7.全年预算数</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c>
          <w:tcPr>
            <w:tcW w:w="2842" w:type="dxa"/>
            <w:tcBorders>
              <w:top w:val="nil"/>
              <w:left w:val="nil"/>
              <w:bottom w:val="single" w:color="000000" w:sz="4"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本年收入合计</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83,908,541.44</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121,128,970.32</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-37,220,428.88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-30.73</w:t>
            </w:r>
          </w:p>
        </w:tc>
        <w:tc>
          <w:tcPr>
            <w:tcW w:w="2842"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主要是减少了公墓区建设资金收入</w:t>
            </w: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本年支出合计</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83,908,541.44</w:t>
            </w:r>
          </w:p>
        </w:tc>
        <w:tc>
          <w:tcPr>
            <w:tcW w:w="15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121,128,970.32</w:t>
            </w:r>
          </w:p>
        </w:tc>
        <w:tc>
          <w:tcPr>
            <w:tcW w:w="148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-37,220,428.88</w:t>
            </w:r>
          </w:p>
        </w:tc>
        <w:tc>
          <w:tcPr>
            <w:tcW w:w="97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-30.73</w:t>
            </w:r>
          </w:p>
        </w:tc>
        <w:tc>
          <w:tcPr>
            <w:tcW w:w="2842" w:type="dxa"/>
            <w:tcBorders>
              <w:top w:val="nil"/>
              <w:left w:val="nil"/>
              <w:bottom w:val="single" w:color="000000" w:sz="4" w:space="0"/>
              <w:right w:val="single" w:color="000000" w:sz="8" w:space="0"/>
            </w:tcBorders>
            <w:shd w:val="clear" w:color="auto" w:fill="auto"/>
            <w:noWrap/>
            <w:vAlign w:val="center"/>
          </w:tcPr>
          <w:p>
            <w:pPr>
              <w:widowControl/>
              <w:jc w:val="lef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主要是减少了公墓区建设资金支出</w:t>
            </w:r>
          </w:p>
        </w:tc>
      </w:tr>
      <w:tr>
        <w:tblPrEx>
          <w:tblLayout w:type="fixed"/>
          <w:tblCellMar>
            <w:top w:w="0" w:type="dxa"/>
            <w:left w:w="108" w:type="dxa"/>
            <w:bottom w:w="0" w:type="dxa"/>
            <w:right w:w="108" w:type="dxa"/>
          </w:tblCellMar>
        </w:tblPrEx>
        <w:trPr>
          <w:trHeight w:val="308" w:hRule="atLeast"/>
        </w:trPr>
        <w:tc>
          <w:tcPr>
            <w:tcW w:w="1761"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left"/>
              <w:textAlignment w:val="center"/>
              <w:rPr>
                <w:rFonts w:hint="default" w:ascii="宋体" w:hAnsi="宋体" w:eastAsia="宋体" w:cs="宋体"/>
                <w:color w:val="000000"/>
                <w:sz w:val="22"/>
                <w:szCs w:val="22"/>
              </w:rPr>
            </w:pPr>
            <w:r>
              <w:rPr>
                <w:rFonts w:ascii="宋体" w:hAnsi="宋体" w:eastAsia="宋体" w:cs="宋体"/>
                <w:color w:val="000000"/>
                <w:kern w:val="0"/>
                <w:sz w:val="22"/>
                <w:szCs w:val="22"/>
              </w:rPr>
              <w:t xml:space="preserve"> 年末结转和结余</w:t>
            </w:r>
          </w:p>
        </w:tc>
        <w:tc>
          <w:tcPr>
            <w:tcW w:w="148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157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148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975" w:type="dxa"/>
            <w:tcBorders>
              <w:top w:val="nil"/>
              <w:left w:val="nil"/>
              <w:bottom w:val="single" w:color="000000" w:sz="8" w:space="0"/>
              <w:right w:val="single" w:color="000000" w:sz="4" w:space="0"/>
            </w:tcBorders>
            <w:shd w:val="clear" w:color="auto" w:fill="auto"/>
            <w:noWrap/>
            <w:vAlign w:val="center"/>
          </w:tcPr>
          <w:p>
            <w:pPr>
              <w:widowControl/>
              <w:jc w:val="right"/>
              <w:textAlignment w:val="center"/>
              <w:rPr>
                <w:rFonts w:hint="default" w:ascii="宋体" w:hAnsi="宋体" w:eastAsia="宋体" w:cs="宋体"/>
                <w:color w:val="000000"/>
                <w:sz w:val="18"/>
                <w:szCs w:val="18"/>
              </w:rPr>
            </w:pPr>
            <w:r>
              <w:rPr>
                <w:rFonts w:ascii="宋体" w:hAnsi="宋体" w:eastAsia="宋体" w:cs="宋体"/>
                <w:color w:val="000000"/>
                <w:kern w:val="0"/>
                <w:sz w:val="18"/>
                <w:szCs w:val="18"/>
              </w:rPr>
              <w:t>0.00</w:t>
            </w:r>
          </w:p>
        </w:tc>
        <w:tc>
          <w:tcPr>
            <w:tcW w:w="2842" w:type="dxa"/>
            <w:tcBorders>
              <w:top w:val="nil"/>
              <w:left w:val="nil"/>
              <w:bottom w:val="single" w:color="000000" w:sz="8" w:space="0"/>
              <w:right w:val="single" w:color="000000" w:sz="8" w:space="0"/>
            </w:tcBorders>
            <w:shd w:val="clear" w:color="auto" w:fill="auto"/>
            <w:noWrap/>
            <w:vAlign w:val="center"/>
          </w:tcPr>
          <w:p>
            <w:pPr>
              <w:jc w:val="left"/>
              <w:rPr>
                <w:rFonts w:hint="default" w:ascii="宋体" w:hAnsi="宋体" w:eastAsia="宋体" w:cs="宋体"/>
                <w:color w:val="000000"/>
                <w:sz w:val="18"/>
                <w:szCs w:val="18"/>
              </w:rPr>
            </w:pPr>
          </w:p>
        </w:tc>
      </w:tr>
    </w:tbl>
    <w:p>
      <w:pPr>
        <w:snapToGrid w:val="0"/>
        <w:spacing w:line="560" w:lineRule="exact"/>
        <w:ind w:firstLine="643" w:firstLineChars="200"/>
        <w:rPr>
          <w:rFonts w:hint="default" w:ascii="仿宋_GB2312" w:hAnsi="仿宋" w:eastAsia="仿宋_GB2312"/>
          <w:b/>
          <w:sz w:val="32"/>
          <w:szCs w:val="32"/>
        </w:rPr>
      </w:pPr>
      <w:r>
        <w:rPr>
          <w:rFonts w:ascii="仿宋_GB2312" w:hAnsi="仿宋" w:eastAsia="仿宋_GB2312"/>
          <w:b/>
          <w:sz w:val="32"/>
          <w:szCs w:val="32"/>
        </w:rPr>
        <w:t>（3）支出按经济分类科目分析。</w:t>
      </w: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①</w:t>
      </w:r>
      <w:r>
        <w:rPr>
          <w:rFonts w:ascii="仿宋_GB2312" w:hAnsi="仿宋" w:eastAsia="仿宋_GB2312"/>
          <w:sz w:val="32"/>
          <w:szCs w:val="32"/>
        </w:rPr>
        <w:t>“三公”经费支出情况：</w:t>
      </w:r>
    </w:p>
    <w:p>
      <w:pPr>
        <w:widowControl/>
        <w:spacing w:line="560" w:lineRule="exact"/>
        <w:ind w:firstLine="640" w:firstLineChars="200"/>
        <w:jc w:val="left"/>
        <w:rPr>
          <w:rFonts w:hint="default" w:ascii="仿宋_GB2312" w:hAnsi="仿宋" w:eastAsia="仿宋_GB2312" w:cs="仿宋"/>
          <w:bCs/>
          <w:color w:val="000000"/>
          <w:sz w:val="32"/>
          <w:szCs w:val="32"/>
        </w:rPr>
      </w:pPr>
      <w:r>
        <w:rPr>
          <w:rFonts w:ascii="仿宋_GB2312" w:hAnsi="仿宋_GB2312" w:eastAsia="仿宋_GB2312" w:cs="仿宋_GB2312"/>
          <w:color w:val="000000"/>
          <w:kern w:val="0"/>
          <w:sz w:val="32"/>
          <w:szCs w:val="32"/>
        </w:rPr>
        <w:t>2023年部门“三公”经费决算7.25万元，较年初预算13.24万元减少5.99万元，较上年7.3万元减少0.05万元。其中：公务接待费2.82万元，较年初预算8.63万元减少5.81万元，与</w:t>
      </w:r>
      <w:r>
        <w:rPr>
          <w:rFonts w:ascii="仿宋_GB2312" w:hAnsi="仿宋_GB2312" w:eastAsia="仿宋_GB2312" w:cs="仿宋_GB2312"/>
          <w:kern w:val="0"/>
          <w:sz w:val="32"/>
          <w:szCs w:val="32"/>
        </w:rPr>
        <w:t>上年持平；</w:t>
      </w:r>
      <w:r>
        <w:rPr>
          <w:rFonts w:ascii="仿宋_GB2312" w:hAnsi="仿宋_GB2312" w:eastAsia="仿宋_GB2312" w:cs="仿宋_GB2312"/>
          <w:color w:val="000000"/>
          <w:kern w:val="0"/>
          <w:sz w:val="32"/>
          <w:szCs w:val="32"/>
        </w:rPr>
        <w:t>因公出国（境）费0万元，较年初预算无变化，较上年无变化，主要是因为无出国境费；公务用车购置及运行费4.43万元(其中，公务用车购置费0万元，公务用车运行费4.43万元)，较年初预算减少0.18万元，较上年</w:t>
      </w:r>
      <w:r>
        <w:rPr>
          <w:rFonts w:ascii="仿宋_GB2312" w:hAnsi="仿宋_GB2312" w:eastAsia="仿宋_GB2312" w:cs="仿宋_GB2312"/>
          <w:kern w:val="0"/>
          <w:sz w:val="32"/>
          <w:szCs w:val="32"/>
        </w:rPr>
        <w:t>4.49</w:t>
      </w:r>
      <w:r>
        <w:rPr>
          <w:rFonts w:ascii="仿宋_GB2312" w:hAnsi="仿宋_GB2312" w:eastAsia="仿宋_GB2312" w:cs="仿宋_GB2312"/>
          <w:color w:val="000000"/>
          <w:kern w:val="0"/>
          <w:sz w:val="32"/>
          <w:szCs w:val="32"/>
        </w:rPr>
        <w:t>万元减少0.06万元。2023年参加出国(境)团组0个，累计0人次。公务接待47批次，360人次。公务用车购置数0台，年末车辆保有量1台。</w:t>
      </w: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②</w:t>
      </w:r>
      <w:r>
        <w:rPr>
          <w:rFonts w:ascii="仿宋_GB2312" w:hAnsi="仿宋" w:eastAsia="仿宋_GB2312"/>
          <w:sz w:val="32"/>
          <w:szCs w:val="32"/>
        </w:rPr>
        <w:t>会议费支出情况：</w:t>
      </w:r>
    </w:p>
    <w:p>
      <w:pPr>
        <w:snapToGrid w:val="0"/>
        <w:spacing w:line="560" w:lineRule="exact"/>
        <w:ind w:firstLine="676" w:firstLineChars="200"/>
        <w:rPr>
          <w:rFonts w:hint="default" w:ascii="仿宋_GB2312" w:hAnsi="仿宋" w:eastAsia="仿宋_GB2312"/>
          <w:sz w:val="32"/>
          <w:szCs w:val="32"/>
        </w:rPr>
      </w:pPr>
      <w:r>
        <w:rPr>
          <w:rFonts w:ascii="仿宋_GB2312" w:hAnsi="仿宋_GB2312" w:eastAsia="仿宋_GB2312" w:cs="仿宋_GB2312"/>
          <w:color w:val="333333"/>
          <w:spacing w:val="9"/>
          <w:sz w:val="32"/>
          <w:szCs w:val="32"/>
          <w:shd w:val="clear" w:color="auto" w:fill="FFFFFF"/>
        </w:rPr>
        <w:t>会议费2023年支出3.77万元，比上年0.51</w:t>
      </w:r>
      <w:r>
        <w:rPr>
          <w:rFonts w:ascii="仿宋_GB2312" w:hAnsi="仿宋_GB2312" w:eastAsia="仿宋_GB2312" w:cs="仿宋_GB2312"/>
          <w:color w:val="000000"/>
          <w:kern w:val="0"/>
          <w:sz w:val="32"/>
          <w:szCs w:val="32"/>
        </w:rPr>
        <w:t>万元</w:t>
      </w:r>
      <w:r>
        <w:rPr>
          <w:rFonts w:ascii="仿宋_GB2312" w:hAnsi="仿宋_GB2312" w:eastAsia="仿宋_GB2312" w:cs="仿宋_GB2312"/>
          <w:color w:val="333333"/>
          <w:spacing w:val="9"/>
          <w:sz w:val="32"/>
          <w:szCs w:val="32"/>
          <w:shd w:val="clear" w:color="auto" w:fill="FFFFFF"/>
        </w:rPr>
        <w:t>，增加3.26万元，主要是</w:t>
      </w:r>
      <w:r>
        <w:rPr>
          <w:rFonts w:ascii="仿宋_GB2312" w:hAnsi="仿宋" w:eastAsia="仿宋_GB2312" w:cs="仿宋"/>
          <w:color w:val="000000"/>
          <w:sz w:val="32"/>
          <w:szCs w:val="32"/>
        </w:rPr>
        <w:t>2023年主要是工作量增加，会议增多</w:t>
      </w:r>
      <w:r>
        <w:rPr>
          <w:rFonts w:ascii="仿宋_GB2312" w:hAnsi="仿宋_GB2312" w:eastAsia="仿宋_GB2312" w:cs="仿宋_GB2312"/>
          <w:color w:val="333333"/>
          <w:spacing w:val="9"/>
          <w:sz w:val="32"/>
          <w:szCs w:val="32"/>
          <w:shd w:val="clear" w:color="auto" w:fill="FFFFFF"/>
        </w:rPr>
        <w:t>。</w:t>
      </w:r>
    </w:p>
    <w:p>
      <w:pPr>
        <w:snapToGrid w:val="0"/>
        <w:spacing w:line="560" w:lineRule="exact"/>
        <w:ind w:firstLine="640" w:firstLineChars="200"/>
        <w:rPr>
          <w:rFonts w:hint="default" w:ascii="仿宋_GB2312" w:hAnsi="仿宋" w:eastAsia="仿宋_GB2312"/>
          <w:sz w:val="32"/>
          <w:szCs w:val="32"/>
        </w:rPr>
      </w:pPr>
      <w:r>
        <w:rPr>
          <w:rFonts w:hint="default" w:ascii="Calibri" w:hAnsi="Calibri" w:eastAsia="仿宋_GB2312" w:cs="Calibri"/>
          <w:sz w:val="32"/>
          <w:szCs w:val="32"/>
        </w:rPr>
        <w:t>③</w:t>
      </w:r>
      <w:r>
        <w:rPr>
          <w:rFonts w:ascii="仿宋_GB2312" w:hAnsi="仿宋" w:eastAsia="仿宋_GB2312"/>
          <w:sz w:val="32"/>
          <w:szCs w:val="32"/>
        </w:rPr>
        <w:t>培训费支出情况：</w:t>
      </w:r>
    </w:p>
    <w:p>
      <w:pPr>
        <w:pStyle w:val="6"/>
        <w:widowControl/>
        <w:shd w:val="clear" w:color="auto" w:fill="FFFFFF"/>
        <w:spacing w:beforeAutospacing="0" w:afterAutospacing="0" w:line="525" w:lineRule="atLeast"/>
        <w:ind w:firstLine="645"/>
        <w:jc w:val="both"/>
        <w:rPr>
          <w:rFonts w:ascii="仿宋_GB2312" w:hAnsi="仿宋_GB2312" w:eastAsia="仿宋_GB2312" w:cs="仿宋_GB2312"/>
          <w:color w:val="333333"/>
          <w:spacing w:val="9"/>
          <w:sz w:val="32"/>
          <w:szCs w:val="32"/>
          <w:shd w:val="clear" w:color="auto" w:fill="FFFFFF"/>
        </w:rPr>
      </w:pPr>
      <w:r>
        <w:rPr>
          <w:rFonts w:hint="eastAsia" w:ascii="仿宋_GB2312" w:hAnsi="仿宋_GB2312" w:eastAsia="仿宋_GB2312" w:cs="仿宋_GB2312"/>
          <w:color w:val="333333"/>
          <w:spacing w:val="9"/>
          <w:sz w:val="32"/>
          <w:szCs w:val="32"/>
          <w:shd w:val="clear" w:color="auto" w:fill="FFFFFF"/>
        </w:rPr>
        <w:t>培训费2023年支出0万元，与上年持平，主要是</w:t>
      </w:r>
      <w:r>
        <w:rPr>
          <w:rFonts w:hint="eastAsia" w:ascii="仿宋_GB2312" w:hAnsi="仿宋" w:eastAsia="仿宋_GB2312" w:cs="仿宋"/>
          <w:color w:val="000000"/>
          <w:sz w:val="32"/>
          <w:szCs w:val="32"/>
        </w:rPr>
        <w:t>2023年本单位没有开展培训</w:t>
      </w:r>
      <w:r>
        <w:rPr>
          <w:rFonts w:hint="eastAsia" w:ascii="仿宋_GB2312" w:hAnsi="仿宋_GB2312" w:eastAsia="仿宋_GB2312" w:cs="仿宋_GB2312"/>
          <w:color w:val="333333"/>
          <w:spacing w:val="9"/>
          <w:sz w:val="32"/>
          <w:szCs w:val="32"/>
          <w:shd w:val="clear" w:color="auto" w:fill="FFFFFF"/>
        </w:rPr>
        <w:t>。</w:t>
      </w:r>
    </w:p>
    <w:p>
      <w:pPr>
        <w:widowControl/>
        <w:spacing w:line="600" w:lineRule="atLeast"/>
        <w:ind w:firstLine="676" w:firstLineChars="200"/>
        <w:jc w:val="left"/>
        <w:rPr>
          <w:rFonts w:hint="default" w:ascii="仿宋_GB2312" w:hAnsi="仿宋_GB2312" w:eastAsia="仿宋_GB2312" w:cs="仿宋_GB2312"/>
          <w:color w:val="000000"/>
          <w:kern w:val="0"/>
          <w:sz w:val="32"/>
          <w:szCs w:val="32"/>
        </w:rPr>
      </w:pPr>
      <w:r>
        <w:rPr>
          <w:rFonts w:hint="default" w:ascii="Calibri" w:hAnsi="Calibri" w:eastAsia="仿宋_GB2312" w:cs="Calibri"/>
          <w:color w:val="333333"/>
          <w:spacing w:val="9"/>
          <w:sz w:val="32"/>
          <w:szCs w:val="32"/>
          <w:shd w:val="clear" w:color="auto" w:fill="FFFFFF"/>
        </w:rPr>
        <w:t>④</w:t>
      </w:r>
      <w:r>
        <w:rPr>
          <w:rFonts w:ascii="仿宋_GB2312" w:hAnsi="仿宋_GB2312" w:eastAsia="仿宋_GB2312" w:cs="仿宋_GB2312"/>
          <w:color w:val="000000"/>
          <w:kern w:val="0"/>
          <w:sz w:val="32"/>
          <w:szCs w:val="32"/>
        </w:rPr>
        <w:t>机关运行经费。2023年部门机关运行经费支出50.35万元，较上年52.86万元减少2.51万元，下降4.75%</w:t>
      </w:r>
      <w:r>
        <w:rPr>
          <w:rFonts w:ascii="仿宋_GB2312" w:hAnsi="仿宋" w:eastAsia="仿宋_GB2312" w:cs="仿宋"/>
          <w:color w:val="000000"/>
          <w:sz w:val="32"/>
          <w:szCs w:val="32"/>
        </w:rPr>
        <w:t>。</w:t>
      </w:r>
    </w:p>
    <w:p>
      <w:pPr>
        <w:spacing w:line="560" w:lineRule="exact"/>
        <w:ind w:firstLine="709"/>
        <w:rPr>
          <w:rFonts w:hint="default" w:ascii="仿宋_GB2312" w:hAnsi="仿宋_GB2312" w:eastAsia="仿宋_GB2312" w:cs="仿宋_GB2312"/>
          <w:color w:val="000000"/>
          <w:kern w:val="0"/>
          <w:sz w:val="32"/>
          <w:szCs w:val="32"/>
        </w:rPr>
      </w:pPr>
      <w:r>
        <w:rPr>
          <w:rFonts w:hint="default" w:ascii="Calibri" w:hAnsi="Calibri" w:eastAsia="仿宋_GB2312" w:cs="Calibri"/>
          <w:color w:val="000000"/>
          <w:kern w:val="0"/>
          <w:sz w:val="32"/>
          <w:szCs w:val="32"/>
        </w:rPr>
        <w:t>⑤</w:t>
      </w:r>
      <w:r>
        <w:rPr>
          <w:rFonts w:ascii="仿宋_GB2312" w:hAnsi="仿宋_GB2312" w:eastAsia="仿宋_GB2312" w:cs="仿宋_GB2312"/>
          <w:color w:val="000000"/>
          <w:kern w:val="0"/>
          <w:sz w:val="32"/>
          <w:szCs w:val="32"/>
        </w:rPr>
        <w:t>政府采购情况。2023年部门政府采购决算总额187.98万元，其中：政府采购货物6.35万元；政府采购服务0万元；政府采购工程181.63万元。</w:t>
      </w:r>
    </w:p>
    <w:p>
      <w:pPr>
        <w:spacing w:line="560" w:lineRule="exact"/>
        <w:ind w:firstLine="709"/>
        <w:rPr>
          <w:rFonts w:hint="default" w:ascii="仿宋_GB2312" w:hAnsi="仿宋_GB2312" w:eastAsia="仿宋_GB2312" w:cs="仿宋_GB2312"/>
          <w:color w:val="000000"/>
          <w:kern w:val="0"/>
          <w:sz w:val="32"/>
          <w:szCs w:val="32"/>
        </w:rPr>
      </w:pPr>
      <w:r>
        <w:rPr>
          <w:rFonts w:hint="default" w:ascii="Calibri" w:hAnsi="Calibri" w:eastAsia="仿宋_GB2312" w:cs="Calibri"/>
          <w:color w:val="000000"/>
          <w:kern w:val="0"/>
          <w:sz w:val="32"/>
          <w:szCs w:val="32"/>
        </w:rPr>
        <w:t>⑥</w:t>
      </w:r>
      <w:r>
        <w:rPr>
          <w:rFonts w:ascii="仿宋_GB2312" w:hAnsi="仿宋_GB2312" w:eastAsia="仿宋_GB2312" w:cs="仿宋_GB2312"/>
          <w:color w:val="000000"/>
          <w:kern w:val="0"/>
          <w:sz w:val="32"/>
          <w:szCs w:val="32"/>
        </w:rPr>
        <w:t>国有资产占用使用情况。截至2023年12月31日，部门所属车辆1辆，单价50万元以上的通用设备0台，单价100万元以上的专用设备0台。</w:t>
      </w:r>
    </w:p>
    <w:p>
      <w:pPr>
        <w:snapToGrid w:val="0"/>
        <w:spacing w:line="560" w:lineRule="exact"/>
        <w:ind w:firstLine="643" w:firstLineChars="200"/>
        <w:rPr>
          <w:rFonts w:hint="default" w:ascii="仿宋_GB2312" w:hAnsi="仿宋" w:eastAsia="仿宋_GB2312"/>
          <w:sz w:val="32"/>
          <w:szCs w:val="32"/>
        </w:rPr>
      </w:pPr>
      <w:r>
        <w:rPr>
          <w:rFonts w:ascii="仿宋_GB2312" w:hAnsi="仿宋" w:eastAsia="仿宋_GB2312"/>
          <w:b/>
          <w:sz w:val="32"/>
          <w:szCs w:val="32"/>
        </w:rPr>
        <w:t>（3）财政拨款收入、支出分析。</w:t>
      </w:r>
    </w:p>
    <w:p>
      <w:pPr>
        <w:widowControl/>
        <w:spacing w:line="600" w:lineRule="atLeast"/>
        <w:ind w:firstLine="600"/>
        <w:jc w:val="left"/>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2023年一般公共预算财政拨款收入决算数</w:t>
      </w:r>
      <w:r>
        <w:rPr>
          <w:rFonts w:ascii="仿宋_GB2312" w:hAnsi="仿宋" w:eastAsia="仿宋_GB2312"/>
          <w:sz w:val="32"/>
          <w:szCs w:val="32"/>
        </w:rPr>
        <w:t>4044.92</w:t>
      </w:r>
      <w:r>
        <w:rPr>
          <w:rFonts w:ascii="仿宋_GB2312" w:hAnsi="仿宋_GB2312" w:eastAsia="仿宋_GB2312" w:cs="仿宋_GB2312"/>
          <w:color w:val="000000"/>
          <w:kern w:val="0"/>
          <w:sz w:val="32"/>
          <w:szCs w:val="32"/>
        </w:rPr>
        <w:t>万元，较上年4932.77万元减少887.85万元,主要是减少了上级转移支付收入。</w:t>
      </w:r>
    </w:p>
    <w:p>
      <w:pPr>
        <w:widowControl/>
        <w:spacing w:line="600" w:lineRule="atLeast"/>
        <w:ind w:firstLine="600"/>
        <w:jc w:val="left"/>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一般公共预算财政拨款支出决算数</w:t>
      </w:r>
      <w:r>
        <w:rPr>
          <w:rFonts w:ascii="仿宋_GB2312" w:hAnsi="仿宋" w:eastAsia="仿宋_GB2312"/>
          <w:sz w:val="32"/>
          <w:szCs w:val="32"/>
        </w:rPr>
        <w:t>4044.92</w:t>
      </w:r>
      <w:r>
        <w:rPr>
          <w:rFonts w:ascii="仿宋_GB2312" w:hAnsi="仿宋_GB2312" w:eastAsia="仿宋_GB2312" w:cs="仿宋_GB2312"/>
          <w:color w:val="000000"/>
          <w:kern w:val="0"/>
          <w:sz w:val="32"/>
          <w:szCs w:val="32"/>
        </w:rPr>
        <w:t>万元，较上年4932.77万元减少887.85万元，其中基本支出447.00万元，较上年414.31万元增加32.69万元，主要是人员经费增加；项目支出3597.91万元，较上年4518.46万元减少920.55万元,主要是上级下达的专项支出减少。</w:t>
      </w:r>
    </w:p>
    <w:p>
      <w:pPr>
        <w:pStyle w:val="11"/>
        <w:spacing w:line="570" w:lineRule="exact"/>
        <w:ind w:firstLine="64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1"/>
        <w:spacing w:line="570" w:lineRule="exact"/>
        <w:ind w:firstLine="640"/>
        <w:outlineLvl w:val="0"/>
        <w:rPr>
          <w:rFonts w:ascii="Times New Roman" w:hAnsi="Times New Roman" w:eastAsia="仿宋_GB2312"/>
          <w:sz w:val="32"/>
        </w:rPr>
      </w:pPr>
      <w:r>
        <w:rPr>
          <w:rFonts w:hint="eastAsia" w:ascii="仿宋_GB2312" w:hAnsi="仿宋_GB2312" w:eastAsia="仿宋_GB2312" w:cs="仿宋_GB2312"/>
          <w:color w:val="000000"/>
          <w:sz w:val="32"/>
          <w:szCs w:val="32"/>
        </w:rPr>
        <w:t>一般公共预算财政拨款支出决算数4044.92万元，较上年4932.77万元减少887.85万元，其中：</w:t>
      </w:r>
    </w:p>
    <w:p>
      <w:pPr>
        <w:pStyle w:val="11"/>
        <w:numPr>
          <w:ilvl w:val="0"/>
          <w:numId w:val="2"/>
        </w:numPr>
        <w:spacing w:line="570" w:lineRule="exact"/>
        <w:ind w:firstLine="640"/>
        <w:outlineLvl w:val="1"/>
        <w:rPr>
          <w:rFonts w:ascii="仿宋" w:hAnsi="仿宋" w:eastAsia="仿宋"/>
          <w:sz w:val="32"/>
          <w:szCs w:val="32"/>
        </w:rPr>
      </w:pPr>
      <w:r>
        <w:rPr>
          <w:rFonts w:hint="eastAsia" w:ascii="Times New Roman" w:hAnsi="Times New Roman" w:eastAsia="仿宋_GB2312"/>
          <w:sz w:val="32"/>
        </w:rPr>
        <w:t>基本支出情况：</w:t>
      </w:r>
      <w:r>
        <w:rPr>
          <w:rFonts w:hint="eastAsia" w:ascii="仿宋" w:hAnsi="仿宋" w:eastAsia="仿宋"/>
          <w:sz w:val="32"/>
          <w:szCs w:val="32"/>
        </w:rPr>
        <w:t>2023年本部门</w:t>
      </w:r>
      <w:r>
        <w:rPr>
          <w:rFonts w:hint="eastAsia" w:ascii="仿宋_GB2312" w:hAnsi="仿宋_GB2312" w:eastAsia="仿宋_GB2312" w:cs="仿宋_GB2312"/>
          <w:color w:val="000000"/>
          <w:sz w:val="32"/>
          <w:szCs w:val="32"/>
        </w:rPr>
        <w:t>基本支出447.01万元</w:t>
      </w:r>
      <w:r>
        <w:rPr>
          <w:rFonts w:hint="eastAsia" w:ascii="仿宋" w:hAnsi="仿宋" w:eastAsia="仿宋"/>
          <w:sz w:val="32"/>
          <w:szCs w:val="32"/>
        </w:rPr>
        <w:t>，占总支出11.05%</w:t>
      </w:r>
      <w:r>
        <w:rPr>
          <w:rFonts w:hint="eastAsia" w:ascii="仿宋_GB2312" w:hAnsi="仿宋_GB2312" w:eastAsia="仿宋_GB2312" w:cs="仿宋_GB2312"/>
          <w:color w:val="000000"/>
          <w:sz w:val="32"/>
          <w:szCs w:val="32"/>
        </w:rPr>
        <w:t>，其中人员经费396.66万元，公用经费50.35万元，较上年414.31万元增加32.7万元</w:t>
      </w:r>
      <w:r>
        <w:rPr>
          <w:rFonts w:hint="eastAsia" w:ascii="仿宋" w:hAnsi="仿宋" w:eastAsia="仿宋"/>
          <w:sz w:val="32"/>
          <w:szCs w:val="32"/>
        </w:rPr>
        <w:t>，主要是为保障部门正常运转、完成日常工作任务而发生的各项支出，包括用于基本工资、津贴补贴等人员经费以及办公费、印刷费、水电费、办公设备购置等公用经费。</w:t>
      </w:r>
    </w:p>
    <w:p>
      <w:pPr>
        <w:pStyle w:val="11"/>
        <w:numPr>
          <w:ilvl w:val="0"/>
          <w:numId w:val="2"/>
        </w:numPr>
        <w:spacing w:line="570" w:lineRule="exact"/>
        <w:ind w:firstLine="640"/>
        <w:outlineLvl w:val="1"/>
        <w:rPr>
          <w:rFonts w:ascii="仿宋_GB2312" w:hAnsi="仿宋_GB2312" w:eastAsia="仿宋_GB2312" w:cs="仿宋_GB2312"/>
          <w:color w:val="000000"/>
          <w:sz w:val="32"/>
          <w:szCs w:val="32"/>
        </w:rPr>
      </w:pPr>
      <w:r>
        <w:rPr>
          <w:rFonts w:hint="eastAsia" w:ascii="Times New Roman" w:hAnsi="Times New Roman" w:eastAsia="仿宋_GB2312"/>
          <w:sz w:val="32"/>
        </w:rPr>
        <w:t>项目支出情况：项目支出3597.91万元,</w:t>
      </w:r>
      <w:r>
        <w:rPr>
          <w:rFonts w:hint="eastAsia" w:ascii="仿宋" w:hAnsi="仿宋" w:eastAsia="仿宋"/>
          <w:sz w:val="32"/>
          <w:szCs w:val="32"/>
        </w:rPr>
        <w:t>占总支出88.95%</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rPr>
        <w:t>较上年4518.46万元减少920.55万元,主要是上级下达的专项支出减少。项目支出</w:t>
      </w:r>
      <w:r>
        <w:rPr>
          <w:rFonts w:hint="eastAsia" w:ascii="仿宋" w:hAnsi="仿宋" w:eastAsia="仿宋"/>
          <w:kern w:val="2"/>
          <w:sz w:val="32"/>
          <w:szCs w:val="32"/>
        </w:rPr>
        <w:t>主要是部门为完成特定行政工作任务或事业发展目标而发生的支出，包括有关事业发展专项、专项业务费、基本建设支出等，本单位项</w:t>
      </w:r>
      <w:r>
        <w:rPr>
          <w:rFonts w:hint="eastAsia" w:ascii="仿宋" w:hAnsi="仿宋" w:eastAsia="仿宋"/>
          <w:color w:val="000000" w:themeColor="text1"/>
          <w:kern w:val="2"/>
          <w:sz w:val="32"/>
          <w:szCs w:val="32"/>
        </w:rPr>
        <w:t>目支出主要包括：行政运行支出17.81万元，主要用于临聘人员工资等方面；一般行政管理事务支出151.98万元，主要用于双牌烈士纪念碑工程款37.5万元、老年养护院建设19.34万元、90-99岁高龄补贴48.77万元等其他民政管理事务支出等方面；其</w:t>
      </w:r>
      <w:r>
        <w:rPr>
          <w:rFonts w:hint="eastAsia" w:ascii="仿宋" w:hAnsi="仿宋" w:eastAsia="仿宋"/>
          <w:kern w:val="2"/>
          <w:sz w:val="32"/>
          <w:szCs w:val="32"/>
        </w:rPr>
        <w:t>他民政管理事务支出236.69万元，主要用于购买乡镇（管理局）社会工作服务57.54万元等其他民政管理事务支出等方面；</w:t>
      </w:r>
      <w:r>
        <w:rPr>
          <w:rFonts w:hint="eastAsia" w:ascii="仿宋" w:hAnsi="仿宋" w:eastAsia="仿宋"/>
          <w:color w:val="000000" w:themeColor="text1"/>
          <w:kern w:val="2"/>
          <w:sz w:val="32"/>
          <w:szCs w:val="32"/>
        </w:rPr>
        <w:t>儿童福利支出178.6万元，主要用于孤儿及事实无人抚养儿童的支出等方面；残疾人生活和护理补贴支出333.64万元，主要用于困难残疾人生活补贴及重度残疾人护理补贴等方面；城市最低生活保障金支出290.23万元，主要用于城市最低生活保障金支出等方面；农村最低生活保障金支出1105.42万元，主要用于农村最低生活保障金支出等方面；临时救助支出294.78万元，主要用于特困人员临时救助支出等方面；流浪乞讨人员救助支出9.78万元，主要用于流浪乞讨人员救助支出等方面；城市特困人员救助供养支出28.22万元，主要用于城市特困供养人员支出等方面；农村特困人员救助供养支出934.61万元，主要用于农村特困供养人员支出等方面；其他农村生活救助支出1.46万元，主要用于其他农村生活救助支出等方面。</w:t>
      </w:r>
    </w:p>
    <w:p>
      <w:pPr>
        <w:pStyle w:val="11"/>
        <w:spacing w:line="570" w:lineRule="exact"/>
        <w:ind w:firstLine="640"/>
        <w:outlineLvl w:val="1"/>
        <w:rPr>
          <w:rFonts w:ascii="Times New Roman" w:hAnsi="Times New Roman" w:eastAsia="黑体"/>
          <w:sz w:val="32"/>
        </w:rPr>
      </w:pPr>
      <w:r>
        <w:rPr>
          <w:rFonts w:hint="eastAsia" w:ascii="Times New Roman" w:hAnsi="Times New Roman" w:eastAsia="黑体"/>
          <w:sz w:val="32"/>
        </w:rPr>
        <w:t>三、政府性基金预算支出情况</w:t>
      </w:r>
    </w:p>
    <w:p>
      <w:pPr>
        <w:widowControl/>
        <w:spacing w:line="600" w:lineRule="atLeast"/>
        <w:ind w:firstLine="640" w:firstLineChars="200"/>
        <w:jc w:val="left"/>
        <w:rPr>
          <w:rFonts w:hint="default"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2023年本单位政府性基金收入</w:t>
      </w:r>
      <w:r>
        <w:rPr>
          <w:rFonts w:ascii="仿宋_GB2312" w:hAnsi="仿宋" w:eastAsia="仿宋_GB2312"/>
          <w:sz w:val="32"/>
          <w:szCs w:val="32"/>
        </w:rPr>
        <w:t>4345.93</w:t>
      </w:r>
      <w:r>
        <w:rPr>
          <w:rFonts w:ascii="仿宋_GB2312" w:hAnsi="仿宋_GB2312" w:eastAsia="仿宋_GB2312" w:cs="仿宋_GB2312"/>
          <w:color w:val="000000"/>
          <w:kern w:val="0"/>
          <w:sz w:val="32"/>
          <w:szCs w:val="32"/>
        </w:rPr>
        <w:t>万元，上年结转0万元；政府性基金支出</w:t>
      </w:r>
      <w:r>
        <w:rPr>
          <w:rFonts w:ascii="仿宋_GB2312" w:hAnsi="仿宋" w:eastAsia="仿宋_GB2312"/>
          <w:sz w:val="32"/>
          <w:szCs w:val="32"/>
        </w:rPr>
        <w:t>4345.93</w:t>
      </w:r>
      <w:r>
        <w:rPr>
          <w:rFonts w:ascii="仿宋_GB2312" w:hAnsi="仿宋_GB2312" w:eastAsia="仿宋_GB2312" w:cs="仿宋_GB2312"/>
          <w:color w:val="000000"/>
          <w:kern w:val="0"/>
          <w:sz w:val="32"/>
          <w:szCs w:val="32"/>
        </w:rPr>
        <w:t>万元，年未结余0万元。</w:t>
      </w:r>
    </w:p>
    <w:p>
      <w:pPr>
        <w:pStyle w:val="11"/>
        <w:spacing w:line="570" w:lineRule="exact"/>
        <w:ind w:firstLine="640"/>
        <w:outlineLvl w:val="1"/>
        <w:rPr>
          <w:rFonts w:ascii="Times New Roman" w:hAnsi="Times New Roman" w:eastAsia="黑体"/>
          <w:sz w:val="32"/>
        </w:rPr>
      </w:pPr>
      <w:r>
        <w:rPr>
          <w:rFonts w:hint="eastAsia" w:ascii="Times New Roman" w:hAnsi="Times New Roman" w:eastAsia="黑体"/>
          <w:sz w:val="32"/>
        </w:rPr>
        <w:t>四、国有资本经营预算支出情况</w:t>
      </w:r>
    </w:p>
    <w:p>
      <w:pPr>
        <w:pStyle w:val="11"/>
        <w:spacing w:line="570" w:lineRule="exact"/>
        <w:ind w:left="420" w:leftChars="200" w:firstLine="640"/>
        <w:outlineLvl w:val="1"/>
        <w:rPr>
          <w:rFonts w:ascii="Times New Roman" w:hAnsi="Times New Roman" w:eastAsia="仿宋_GB2312"/>
          <w:color w:val="000000"/>
          <w:sz w:val="32"/>
        </w:rPr>
      </w:pPr>
      <w:r>
        <w:rPr>
          <w:rFonts w:hint="eastAsia" w:ascii="Times New Roman" w:hAnsi="Times New Roman" w:eastAsia="仿宋_GB2312"/>
          <w:color w:val="000000"/>
          <w:sz w:val="32"/>
        </w:rPr>
        <w:t>我单位无国有资本经营预算支出情况。</w:t>
      </w:r>
    </w:p>
    <w:p>
      <w:pPr>
        <w:pStyle w:val="11"/>
        <w:spacing w:line="570" w:lineRule="exact"/>
        <w:ind w:left="420" w:leftChars="200" w:firstLine="320" w:firstLineChars="100"/>
        <w:outlineLvl w:val="1"/>
        <w:rPr>
          <w:rFonts w:ascii="Times New Roman" w:hAnsi="Times New Roman" w:eastAsia="黑体"/>
          <w:sz w:val="32"/>
        </w:rPr>
      </w:pPr>
      <w:r>
        <w:rPr>
          <w:rFonts w:hint="eastAsia" w:ascii="Times New Roman" w:hAnsi="Times New Roman" w:eastAsia="黑体"/>
          <w:sz w:val="32"/>
        </w:rPr>
        <w:t>五、社会保险基金预算支出情况</w:t>
      </w:r>
    </w:p>
    <w:p>
      <w:pPr>
        <w:pStyle w:val="11"/>
        <w:spacing w:line="570" w:lineRule="exact"/>
        <w:ind w:left="420" w:leftChars="200" w:firstLine="640"/>
        <w:outlineLvl w:val="1"/>
        <w:rPr>
          <w:rFonts w:ascii="Times New Roman" w:hAnsi="Times New Roman" w:eastAsia="仿宋_GB2312"/>
          <w:color w:val="000000"/>
          <w:sz w:val="32"/>
        </w:rPr>
      </w:pPr>
      <w:r>
        <w:rPr>
          <w:rFonts w:hint="eastAsia" w:ascii="Times New Roman" w:hAnsi="Times New Roman" w:eastAsia="仿宋_GB2312"/>
          <w:color w:val="000000"/>
          <w:sz w:val="32"/>
        </w:rPr>
        <w:t>我单位无社会保险基金预算支出情况</w:t>
      </w:r>
    </w:p>
    <w:p>
      <w:pPr>
        <w:spacing w:line="570" w:lineRule="exact"/>
        <w:ind w:firstLine="645"/>
        <w:jc w:val="left"/>
        <w:outlineLvl w:val="0"/>
        <w:rPr>
          <w:rFonts w:hint="default" w:eastAsia="黑体"/>
          <w:sz w:val="32"/>
        </w:rPr>
      </w:pPr>
      <w:r>
        <w:rPr>
          <w:rFonts w:eastAsia="黑体"/>
          <w:sz w:val="32"/>
        </w:rPr>
        <w:t>六、部门整体支出绩效情况</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对照双财绩〔2024〕2号文件规定的考核指标，我局从预算配置、预算执行、预算管理、职责履行、履职效益等方面对2023年部门整体支出绩效开展了评价，自评得分100分，具体情况如下： 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（一）预算配置方面 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在职人员控制率：编制数40人，在职人员35人，在编制控制范围内，在职人员控制率为88%。 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2023年部门“三公”经费决算7.25万元，较年初预算13.24万元减少5.99万元，较上年7.3万元减少0.05万元。</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（二）预算执行方面 </w:t>
      </w:r>
    </w:p>
    <w:p>
      <w:pPr>
        <w:pStyle w:val="6"/>
        <w:widowControl/>
        <w:shd w:val="clear" w:color="auto" w:fill="FFFFFF"/>
        <w:spacing w:beforeAutospacing="0" w:after="105" w:afterAutospacing="0" w:line="30" w:lineRule="atLeas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预算完成率：2023年全年预算8390.85万元，本年追加预算0万元，年末结余0万元0，预算完成率100%。 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预算控制率：2023年年初预算8390.85万元，年中追加预算0万元，预算控制率100%。 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新建楼堂馆所有关控制率：无新建楼堂馆所情况。 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（三）预算管理方面 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公用经费控制率：2023年我局预算管理各项指标控制较好。实际支出公用经费总额50.35万元，预算安排公用经费总额51万元，公用经费控制率99%。 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“三公经费”控制率：“三公”经费实际支出数为7.25万元，预算安排数13.24万元，“三公”经费控制率为55%。</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政府采购执行率：政府采购预算数187.98万元，实际政府采购金额200万元，政府采购执行率94%，实现了应采尽采。</w:t>
      </w:r>
    </w:p>
    <w:p>
      <w:pPr>
        <w:pStyle w:val="6"/>
        <w:widowControl/>
        <w:shd w:val="clear" w:color="auto" w:fill="FFFFFF"/>
        <w:spacing w:beforeAutospacing="0" w:after="105" w:afterAutospacing="0" w:line="3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管理制度健全性：严格落实《双牌县民政局机关财务管理办法》等有关管理制度，规范财务审批程序，本着厉行节约的原则，严格差旅费和接待费支出标准、范围和程序的审核，有效地控制了我局一般性支出。 </w:t>
      </w:r>
    </w:p>
    <w:p>
      <w:pPr>
        <w:pStyle w:val="6"/>
        <w:widowControl/>
        <w:shd w:val="clear" w:color="auto" w:fill="FFFFFF"/>
        <w:spacing w:beforeAutospacing="0" w:after="105" w:afterAutospacing="0" w:line="3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金使用合规性：配合机关纪检组开展违反中央八项规定突出问题专项整治，严格落实中央八项规定和有关公务支出标准。配合审计工作，及时整理制作和报送资料，对审计提出的问题认真整改，落实到位。加强经费合法合规性审核和预算控制，严格按制度政策办事，资金使用合法合规，支出手续齐全，程序到位。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预决算信息公开性：加快预算执行，盘活存量资金，减少追加资金。真实准确编制局机关部门预算和决算，按时上报基础数据资料。对上年度部门整体支出进行了绩效评价，对标找差距。按规定时限和规定内容公开部门预算、部门决算。各项应向社会公开的信息及时、完整、真实，更加细化，部门预决算信息透明度进一步提高。 </w:t>
      </w:r>
    </w:p>
    <w:p>
      <w:pPr>
        <w:pStyle w:val="6"/>
        <w:widowControl/>
        <w:shd w:val="clear" w:color="auto" w:fill="FFFFFF"/>
        <w:spacing w:beforeAutospacing="0" w:after="105" w:afterAutospacing="0" w:line="30" w:lineRule="atLeast"/>
        <w:ind w:firstLine="42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（四）职责履行和履职效益方面 </w:t>
      </w:r>
    </w:p>
    <w:p>
      <w:pPr>
        <w:pStyle w:val="6"/>
        <w:widowControl/>
        <w:shd w:val="clear" w:color="auto" w:fill="FFFFFF"/>
        <w:spacing w:beforeAutospacing="0" w:after="105" w:afterAutospacing="0" w:line="3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2023年，我们狠抓重点工作，较好的完成了各项目标工作任务，取得了较好的经济和社会效益，行政效能明显提高，社会公众满意度不断提升。 </w:t>
      </w:r>
    </w:p>
    <w:p>
      <w:pPr>
        <w:spacing w:line="560" w:lineRule="exact"/>
        <w:ind w:firstLine="643" w:firstLineChars="200"/>
        <w:rPr>
          <w:rFonts w:hint="default" w:ascii="仿宋_GB2312" w:hAnsi="仿宋_GB2312" w:eastAsia="仿宋_GB2312" w:cs="仿宋_GB2312"/>
          <w:sz w:val="32"/>
          <w:szCs w:val="32"/>
        </w:rPr>
      </w:pPr>
      <w:r>
        <w:rPr>
          <w:rFonts w:ascii="仿宋_GB2312" w:hAnsi="仿宋_GB2312" w:eastAsia="仿宋_GB2312" w:cs="仿宋_GB2312"/>
          <w:b/>
          <w:bCs/>
          <w:sz w:val="32"/>
          <w:szCs w:val="32"/>
        </w:rPr>
        <w:t>1、城乡低保工作积极规范推进。</w:t>
      </w:r>
      <w:r>
        <w:rPr>
          <w:rFonts w:ascii="仿宋_GB2312" w:hAnsi="仿宋_GB2312" w:eastAsia="仿宋_GB2312" w:cs="仿宋_GB2312"/>
          <w:sz w:val="32"/>
          <w:szCs w:val="32"/>
        </w:rPr>
        <w:t>2023年1-12月份发放农村低保对象 2091户3640 人次，累计发放金额1290.4万元。发放城市低保对象474户671人次，累计发放金额329.22万元。</w:t>
      </w:r>
    </w:p>
    <w:p>
      <w:pPr>
        <w:spacing w:line="560" w:lineRule="exact"/>
        <w:ind w:firstLine="643" w:firstLineChars="200"/>
        <w:rPr>
          <w:rFonts w:hint="default" w:ascii="仿宋_GB2312" w:hAnsi="仿宋_GB2312" w:eastAsia="仿宋_GB2312" w:cs="仿宋_GB2312"/>
          <w:sz w:val="32"/>
          <w:szCs w:val="32"/>
        </w:rPr>
      </w:pPr>
      <w:r>
        <w:rPr>
          <w:rFonts w:ascii="仿宋_GB2312" w:hAnsi="仿宋_GB2312" w:eastAsia="仿宋_GB2312" w:cs="仿宋_GB2312"/>
          <w:b/>
          <w:bCs/>
          <w:sz w:val="32"/>
          <w:szCs w:val="32"/>
        </w:rPr>
        <w:t>2、临时救助成效显著。2023年</w:t>
      </w:r>
      <w:r>
        <w:rPr>
          <w:rFonts w:ascii="仿宋_GB2312" w:hAnsi="仿宋_GB2312" w:eastAsia="仿宋_GB2312" w:cs="仿宋_GB2312"/>
          <w:sz w:val="32"/>
          <w:szCs w:val="32"/>
        </w:rPr>
        <w:t>1-12月临时救助 5686  人次，累计发放临时救助资金185.65万元，其中下拨各乡镇临时救助资金100万元。</w:t>
      </w:r>
    </w:p>
    <w:p>
      <w:pPr>
        <w:spacing w:line="560" w:lineRule="exact"/>
        <w:ind w:firstLine="643" w:firstLineChars="200"/>
        <w:rPr>
          <w:rFonts w:hint="default" w:ascii="仿宋_GB2312" w:hAnsi="仿宋_GB2312" w:eastAsia="仿宋_GB2312" w:cs="仿宋_GB2312"/>
          <w:sz w:val="32"/>
          <w:szCs w:val="32"/>
        </w:rPr>
      </w:pPr>
      <w:r>
        <w:rPr>
          <w:rFonts w:ascii="仿宋_GB2312" w:hAnsi="仿宋_GB2312" w:eastAsia="仿宋_GB2312" w:cs="仿宋_GB2312"/>
          <w:b/>
          <w:bCs/>
          <w:sz w:val="32"/>
          <w:szCs w:val="32"/>
        </w:rPr>
        <w:t>3、特困供养工作有序推进。</w:t>
      </w:r>
      <w:r>
        <w:rPr>
          <w:rFonts w:ascii="仿宋_GB2312" w:hAnsi="仿宋_GB2312" w:eastAsia="仿宋_GB2312" w:cs="仿宋_GB2312"/>
          <w:sz w:val="32"/>
          <w:szCs w:val="32"/>
        </w:rPr>
        <w:t>截止2023年12月份, 我县现有特困供养人员1010  人，其中分散供养 889 人，集中供养 121人。</w:t>
      </w:r>
    </w:p>
    <w:p>
      <w:pPr>
        <w:spacing w:line="560" w:lineRule="exact"/>
        <w:ind w:firstLine="643" w:firstLineChars="200"/>
        <w:rPr>
          <w:rFonts w:hint="default" w:ascii="仿宋_GB2312" w:hAnsi="仿宋_GB2312" w:eastAsia="仿宋_GB2312" w:cs="仿宋_GB2312"/>
          <w:sz w:val="32"/>
          <w:szCs w:val="32"/>
        </w:rPr>
      </w:pPr>
      <w:r>
        <w:rPr>
          <w:rFonts w:ascii="仿宋_GB2312" w:hAnsi="仿宋_GB2312" w:eastAsia="仿宋_GB2312" w:cs="仿宋_GB2312"/>
          <w:b/>
          <w:bCs/>
          <w:sz w:val="32"/>
          <w:szCs w:val="32"/>
        </w:rPr>
        <w:t>4、社会养老服务体系建设深入推进。</w:t>
      </w:r>
      <w:r>
        <w:rPr>
          <w:rFonts w:ascii="仿宋_GB2312" w:hAnsi="仿宋_GB2312" w:eastAsia="仿宋_GB2312" w:cs="仿宋_GB2312"/>
          <w:sz w:val="32"/>
          <w:szCs w:val="32"/>
        </w:rPr>
        <w:t>一是现有基本养老服务补贴对象 297人，2023年1-12月发放基本养老服务补贴  3.47 万元。二是落实了老年人意外伤害保险工作。三是全县现有高龄补贴老人 403人，今年1－12月发放高龄补贴 43.82 万元。现有百岁老人 7人，今年1－12月发放百岁老人长寿补贴4.98万元。</w:t>
      </w:r>
    </w:p>
    <w:p>
      <w:pPr>
        <w:spacing w:line="560" w:lineRule="exact"/>
        <w:ind w:firstLine="643" w:firstLineChars="200"/>
        <w:rPr>
          <w:rFonts w:hint="default" w:ascii="仿宋_GB2312" w:hAnsi="仿宋_GB2312" w:eastAsia="仿宋_GB2312" w:cs="仿宋_GB2312"/>
          <w:sz w:val="32"/>
          <w:szCs w:val="32"/>
        </w:rPr>
      </w:pPr>
      <w:r>
        <w:rPr>
          <w:rFonts w:ascii="仿宋_GB2312" w:hAnsi="仿宋_GB2312" w:eastAsia="仿宋_GB2312" w:cs="仿宋_GB2312"/>
          <w:b/>
          <w:bCs/>
          <w:sz w:val="32"/>
          <w:szCs w:val="32"/>
        </w:rPr>
        <w:t>5、按时完成重残护理补贴和困残生活补贴发放工作。</w:t>
      </w:r>
      <w:r>
        <w:rPr>
          <w:rFonts w:ascii="仿宋_GB2312" w:hAnsi="仿宋_GB2312" w:eastAsia="仿宋_GB2312" w:cs="仿宋_GB2312"/>
          <w:sz w:val="32"/>
          <w:szCs w:val="32"/>
        </w:rPr>
        <w:t>截止12月，全县享有重度残疾人护理补贴人员 2350 人，享有困难残疾人生活补贴人员 1259 人。2023年1-12月共发放重度残疾人护理补贴 200.14 万元，发放困难残疾人补贴112.79万元。</w:t>
      </w:r>
    </w:p>
    <w:p>
      <w:pPr>
        <w:spacing w:line="560" w:lineRule="exact"/>
        <w:ind w:firstLine="643" w:firstLineChars="200"/>
        <w:rPr>
          <w:rFonts w:hint="default" w:ascii="仿宋_GB2312" w:hAnsi="仿宋_GB2312" w:eastAsia="仿宋_GB2312" w:cs="仿宋_GB2312"/>
          <w:color w:val="333333"/>
          <w:spacing w:val="9"/>
          <w:sz w:val="32"/>
          <w:szCs w:val="32"/>
        </w:rPr>
      </w:pPr>
      <w:r>
        <w:rPr>
          <w:rFonts w:ascii="仿宋_GB2312" w:hAnsi="仿宋_GB2312" w:eastAsia="仿宋_GB2312" w:cs="仿宋_GB2312"/>
          <w:b/>
          <w:bCs/>
          <w:sz w:val="32"/>
          <w:szCs w:val="32"/>
        </w:rPr>
        <w:t>6、流浪乞讨扎实推进。</w:t>
      </w:r>
      <w:r>
        <w:rPr>
          <w:rFonts w:ascii="仿宋_GB2312" w:hAnsi="仿宋_GB2312" w:eastAsia="仿宋_GB2312" w:cs="仿宋_GB2312"/>
          <w:sz w:val="32"/>
          <w:szCs w:val="32"/>
        </w:rPr>
        <w:t>实行了应收尽收，应救尽救，今年以来共救助流浪乞讨人员 512 人次， 2023年全县救助资金达105.38万余元，用于流浪乞讨医疗、生活、安置等救助。</w:t>
      </w:r>
    </w:p>
    <w:p>
      <w:pPr>
        <w:spacing w:line="600" w:lineRule="exact"/>
        <w:ind w:firstLine="321" w:firstLineChars="100"/>
        <w:rPr>
          <w:rFonts w:hint="default" w:ascii="楷体" w:hAnsi="楷体" w:eastAsia="楷体" w:cs="楷体"/>
          <w:b/>
          <w:bCs/>
          <w:sz w:val="32"/>
          <w:szCs w:val="32"/>
        </w:rPr>
      </w:pPr>
      <w:r>
        <w:rPr>
          <w:rFonts w:ascii="楷体" w:hAnsi="楷体" w:eastAsia="楷体" w:cs="楷体"/>
          <w:b/>
          <w:bCs/>
          <w:sz w:val="32"/>
          <w:szCs w:val="32"/>
        </w:rPr>
        <w:t>（五）绩效效益情况</w:t>
      </w:r>
    </w:p>
    <w:p>
      <w:pPr>
        <w:ind w:firstLine="640" w:firstLineChars="200"/>
        <w:rPr>
          <w:rFonts w:hint="default" w:ascii="仿宋" w:hAnsi="仿宋" w:eastAsia="仿宋"/>
          <w:sz w:val="32"/>
          <w:szCs w:val="32"/>
        </w:rPr>
      </w:pPr>
      <w:r>
        <w:rPr>
          <w:rFonts w:ascii="仿宋" w:hAnsi="仿宋" w:eastAsia="仿宋"/>
          <w:sz w:val="32"/>
          <w:szCs w:val="32"/>
        </w:rPr>
        <w:t>1．经济效益</w:t>
      </w:r>
    </w:p>
    <w:p>
      <w:pPr>
        <w:ind w:firstLine="640" w:firstLineChars="200"/>
        <w:rPr>
          <w:rFonts w:hint="default" w:ascii="仿宋" w:hAnsi="仿宋" w:eastAsia="仿宋"/>
          <w:sz w:val="32"/>
          <w:szCs w:val="32"/>
        </w:rPr>
      </w:pPr>
      <w:r>
        <w:rPr>
          <w:rFonts w:ascii="仿宋" w:hAnsi="仿宋" w:eastAsia="仿宋"/>
          <w:sz w:val="32"/>
          <w:szCs w:val="32"/>
        </w:rPr>
        <w:t>为困难群众提供基本生活、照料服务、疾病治疗和殡葬服务等方面保障，做到应救尽救、应养尽养，对于维护社会稳定、促进经济建设和社会和谐都起着至关重要的作用。</w:t>
      </w:r>
    </w:p>
    <w:p>
      <w:pPr>
        <w:ind w:firstLine="640" w:firstLineChars="200"/>
        <w:rPr>
          <w:rFonts w:hint="default" w:ascii="仿宋" w:hAnsi="仿宋" w:eastAsia="仿宋"/>
          <w:sz w:val="32"/>
          <w:szCs w:val="32"/>
        </w:rPr>
      </w:pPr>
      <w:r>
        <w:rPr>
          <w:rFonts w:ascii="仿宋" w:hAnsi="仿宋" w:eastAsia="仿宋"/>
          <w:sz w:val="32"/>
          <w:szCs w:val="32"/>
        </w:rPr>
        <w:t>2.社会效益</w:t>
      </w:r>
    </w:p>
    <w:p>
      <w:pPr>
        <w:ind w:firstLine="640" w:firstLineChars="200"/>
        <w:rPr>
          <w:rFonts w:hint="default" w:ascii="仿宋" w:hAnsi="仿宋" w:eastAsia="仿宋"/>
          <w:sz w:val="32"/>
          <w:szCs w:val="32"/>
        </w:rPr>
      </w:pPr>
      <w:r>
        <w:rPr>
          <w:rFonts w:ascii="仿宋" w:hAnsi="仿宋" w:eastAsia="仿宋"/>
          <w:sz w:val="32"/>
          <w:szCs w:val="32"/>
        </w:rPr>
        <w:t>保障了困难群众的吃、穿、住、老、病、死等方面的问题，对促进社会公平，维护社会稳定，构建和谐社会具有十分重要的意义。</w:t>
      </w:r>
    </w:p>
    <w:p>
      <w:pPr>
        <w:ind w:firstLine="643" w:firstLineChars="200"/>
        <w:rPr>
          <w:rFonts w:hint="default" w:ascii="仿宋" w:hAnsi="仿宋" w:eastAsia="仿宋"/>
          <w:b/>
          <w:sz w:val="32"/>
          <w:szCs w:val="32"/>
        </w:rPr>
      </w:pPr>
      <w:r>
        <w:rPr>
          <w:rFonts w:ascii="仿宋" w:hAnsi="仿宋" w:eastAsia="仿宋"/>
          <w:b/>
          <w:sz w:val="32"/>
          <w:szCs w:val="32"/>
        </w:rPr>
        <w:t>3．群众满意度</w:t>
      </w:r>
    </w:p>
    <w:p>
      <w:pPr>
        <w:ind w:firstLine="640" w:firstLineChars="200"/>
        <w:rPr>
          <w:rFonts w:hint="default" w:ascii="仿宋" w:hAnsi="仿宋" w:eastAsia="仿宋"/>
          <w:sz w:val="32"/>
          <w:szCs w:val="32"/>
        </w:rPr>
      </w:pPr>
      <w:r>
        <w:rPr>
          <w:rFonts w:ascii="仿宋" w:hAnsi="仿宋" w:eastAsia="仿宋"/>
          <w:sz w:val="32"/>
          <w:szCs w:val="32"/>
        </w:rPr>
        <w:t>通过对困难群众的调查问卷了解，普遍认为困难群众救助资金解决了群众临时性生活困难，发挥了救难救需的作用，在一定程度甚至根本上解决了生存需要，广大群众对民政专项资金补助的满意度比较高。</w:t>
      </w:r>
    </w:p>
    <w:p>
      <w:pPr>
        <w:pStyle w:val="11"/>
        <w:spacing w:line="570" w:lineRule="exact"/>
        <w:ind w:firstLine="64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spacing w:line="600" w:lineRule="exact"/>
        <w:ind w:firstLine="643" w:firstLineChars="200"/>
        <w:jc w:val="left"/>
        <w:rPr>
          <w:rFonts w:hint="default" w:ascii="仿宋" w:hAnsi="仿宋" w:eastAsia="仿宋" w:cs="仿宋"/>
          <w:sz w:val="32"/>
          <w:szCs w:val="32"/>
        </w:rPr>
      </w:pPr>
      <w:r>
        <w:rPr>
          <w:rFonts w:ascii="楷体" w:hAnsi="楷体" w:eastAsia="楷体" w:cs="楷体"/>
          <w:b/>
          <w:sz w:val="32"/>
          <w:szCs w:val="32"/>
        </w:rPr>
        <w:t>1.人平公用经费不足，基本支出“难保”。</w:t>
      </w:r>
      <w:r>
        <w:rPr>
          <w:rFonts w:ascii="仿宋" w:hAnsi="仿宋" w:eastAsia="仿宋" w:cs="仿宋"/>
          <w:sz w:val="32"/>
          <w:szCs w:val="32"/>
        </w:rPr>
        <w:t>我局现有在职人员35人、退休人员23人，公用经费预算42万元，按现有在职人员人均1.2万元安排（实际为7000元、调剂了专项经费5000元），根本保不了单位“基本”运转。况且各项开支随工资调整还会逐年增加，没有基本预算保证。</w:t>
      </w:r>
    </w:p>
    <w:p>
      <w:pPr>
        <w:spacing w:line="600" w:lineRule="exact"/>
        <w:ind w:firstLine="643" w:firstLineChars="200"/>
        <w:jc w:val="left"/>
        <w:rPr>
          <w:rFonts w:hint="default" w:ascii="仿宋" w:hAnsi="仿宋" w:eastAsia="仿宋" w:cs="仿宋"/>
          <w:bCs/>
          <w:sz w:val="32"/>
          <w:szCs w:val="32"/>
        </w:rPr>
      </w:pPr>
      <w:r>
        <w:rPr>
          <w:rFonts w:ascii="楷体" w:hAnsi="楷体" w:eastAsia="楷体" w:cs="楷体"/>
          <w:b/>
          <w:sz w:val="32"/>
          <w:szCs w:val="32"/>
        </w:rPr>
        <w:t>2、拨款太晚，每月报账付款时间短。</w:t>
      </w:r>
      <w:r>
        <w:rPr>
          <w:rFonts w:ascii="仿宋" w:hAnsi="仿宋" w:eastAsia="仿宋" w:cs="仿宋"/>
          <w:bCs/>
          <w:sz w:val="32"/>
          <w:szCs w:val="32"/>
        </w:rPr>
        <w:t>执行一体化系统以后，每月基本是最后三四天才可以报账，时间紧，易出错。当出现付款账号或者名称错误的现象银行退回时，无法及时纠错改付，尤其是年底，出现上述情况时，影响当年部门预算执行。</w:t>
      </w:r>
    </w:p>
    <w:p>
      <w:pPr>
        <w:ind w:firstLine="643" w:firstLineChars="200"/>
        <w:rPr>
          <w:rFonts w:hint="default" w:ascii="仿宋" w:hAnsi="仿宋" w:eastAsia="仿宋" w:cs="仿宋"/>
          <w:bCs/>
          <w:sz w:val="32"/>
          <w:szCs w:val="32"/>
        </w:rPr>
      </w:pPr>
      <w:r>
        <w:rPr>
          <w:rFonts w:ascii="楷体" w:hAnsi="楷体" w:eastAsia="楷体" w:cs="楷体"/>
          <w:b/>
          <w:sz w:val="32"/>
          <w:szCs w:val="32"/>
        </w:rPr>
        <w:t>3、科目不能灵活调剂，预算执行不及时、报账难。</w:t>
      </w:r>
      <w:r>
        <w:rPr>
          <w:rFonts w:ascii="仿宋" w:hAnsi="仿宋" w:eastAsia="仿宋" w:cs="仿宋"/>
          <w:bCs/>
          <w:sz w:val="32"/>
          <w:szCs w:val="32"/>
        </w:rPr>
        <w:t>一是只能按科目报账，科目一经确定、无法调剂，由于单位许多开支项目无法事先精准预计，导致计划安排与具体执行上有差异，甚至浪费预算或县批指标。二是根据财政要求每月15号之前报送计划和录入指标，如果在15号以后签批的县批经费，当月不能补录用款计划，需等到下个月才能报账，尤其是12月份会导致预算执行迟后。</w:t>
      </w:r>
    </w:p>
    <w:p>
      <w:pPr>
        <w:pStyle w:val="6"/>
        <w:widowControl/>
        <w:shd w:val="clear" w:color="auto" w:fill="FFFFFF"/>
        <w:spacing w:beforeAutospacing="0" w:afterAutospacing="0" w:line="23" w:lineRule="atLeast"/>
        <w:ind w:firstLine="640" w:firstLineChars="200"/>
        <w:rPr>
          <w:rFonts w:ascii="Times New Roman" w:hAnsi="Times New Roman" w:eastAsia="黑体"/>
          <w:sz w:val="32"/>
        </w:rPr>
      </w:pPr>
      <w:r>
        <w:rPr>
          <w:rFonts w:hint="eastAsia" w:ascii="Times New Roman" w:hAnsi="Times New Roman" w:eastAsia="黑体"/>
          <w:sz w:val="32"/>
        </w:rPr>
        <w:t>八、下一步改进工作的意见建议</w:t>
      </w:r>
    </w:p>
    <w:p>
      <w:pPr>
        <w:spacing w:line="560" w:lineRule="exact"/>
        <w:ind w:firstLine="640" w:firstLineChars="200"/>
        <w:jc w:val="left"/>
        <w:rPr>
          <w:rFonts w:hint="default" w:ascii="仿宋" w:hAnsi="仿宋" w:eastAsia="仿宋"/>
          <w:sz w:val="32"/>
          <w:szCs w:val="32"/>
        </w:rPr>
      </w:pPr>
      <w:r>
        <w:rPr>
          <w:rFonts w:ascii="仿宋" w:hAnsi="仿宋" w:eastAsia="仿宋"/>
          <w:sz w:val="32"/>
          <w:szCs w:val="32"/>
        </w:rPr>
        <w:t>1.细化预算编制工作，认真做好预算的编制。进一步提高预算编制的科学性、严谨性和可控性。</w:t>
      </w:r>
    </w:p>
    <w:p>
      <w:pPr>
        <w:spacing w:line="560" w:lineRule="exact"/>
        <w:ind w:firstLine="640" w:firstLineChars="200"/>
        <w:jc w:val="left"/>
        <w:rPr>
          <w:rFonts w:hint="default" w:ascii="仿宋" w:hAnsi="仿宋" w:eastAsia="仿宋"/>
          <w:sz w:val="32"/>
          <w:szCs w:val="32"/>
        </w:rPr>
      </w:pPr>
      <w:r>
        <w:rPr>
          <w:rFonts w:ascii="仿宋" w:hAnsi="仿宋" w:eastAsia="仿宋"/>
          <w:sz w:val="32"/>
          <w:szCs w:val="32"/>
        </w:rPr>
        <w:t>2.加强财务管理，严格财务审核。</w:t>
      </w:r>
    </w:p>
    <w:p>
      <w:pPr>
        <w:spacing w:line="560" w:lineRule="exact"/>
        <w:ind w:firstLine="640" w:firstLineChars="200"/>
        <w:jc w:val="left"/>
        <w:rPr>
          <w:rFonts w:hint="default" w:ascii="仿宋" w:hAnsi="仿宋" w:eastAsia="仿宋"/>
          <w:sz w:val="32"/>
          <w:szCs w:val="32"/>
        </w:rPr>
      </w:pPr>
      <w:r>
        <w:rPr>
          <w:rFonts w:ascii="仿宋" w:hAnsi="仿宋" w:eastAsia="仿宋"/>
          <w:sz w:val="32"/>
          <w:szCs w:val="32"/>
        </w:rPr>
        <w:t>3.持续抓好“三公”经费控制管理。“三公”经费支出只减不增。</w:t>
      </w:r>
    </w:p>
    <w:p>
      <w:pPr>
        <w:spacing w:line="560" w:lineRule="exact"/>
        <w:ind w:firstLine="640" w:firstLineChars="200"/>
        <w:jc w:val="left"/>
        <w:rPr>
          <w:rFonts w:hint="default" w:ascii="仿宋" w:hAnsi="仿宋" w:eastAsia="仿宋"/>
          <w:sz w:val="32"/>
          <w:szCs w:val="32"/>
        </w:rPr>
      </w:pPr>
      <w:r>
        <w:rPr>
          <w:rFonts w:ascii="仿宋" w:hAnsi="仿宋" w:eastAsia="仿宋"/>
          <w:sz w:val="32"/>
          <w:szCs w:val="32"/>
        </w:rPr>
        <w:t>4.加强项目开展进度的跟踪，开展项目绩效评价，确保项目绩效目标的完成。</w:t>
      </w:r>
    </w:p>
    <w:p>
      <w:pPr>
        <w:spacing w:line="570" w:lineRule="exact"/>
        <w:ind w:firstLine="645"/>
        <w:jc w:val="left"/>
        <w:outlineLvl w:val="0"/>
        <w:rPr>
          <w:rFonts w:hint="default" w:eastAsia="黑体"/>
          <w:sz w:val="32"/>
        </w:rPr>
      </w:pPr>
      <w:r>
        <w:rPr>
          <w:rFonts w:eastAsia="黑体"/>
          <w:sz w:val="32"/>
        </w:rPr>
        <w:t>九、部门整体支出绩效自评结果拟应用和公开情况</w:t>
      </w:r>
    </w:p>
    <w:p>
      <w:pPr>
        <w:spacing w:line="560" w:lineRule="exact"/>
        <w:ind w:firstLine="640" w:firstLineChars="200"/>
        <w:jc w:val="left"/>
        <w:rPr>
          <w:rFonts w:hint="default" w:ascii="仿宋" w:hAnsi="仿宋" w:eastAsia="仿宋"/>
          <w:sz w:val="32"/>
          <w:szCs w:val="32"/>
        </w:rPr>
      </w:pPr>
      <w:r>
        <w:rPr>
          <w:rFonts w:ascii="仿宋" w:hAnsi="仿宋" w:eastAsia="仿宋"/>
          <w:sz w:val="32"/>
          <w:szCs w:val="32"/>
        </w:rPr>
        <w:t>基于我局部门整体支出绩效自评结果好，建议加大对民政民本民生资金的投入，以保障弱式群体的利益。我局一定要按规定的要求及时间进行公开。</w:t>
      </w:r>
    </w:p>
    <w:p>
      <w:pPr>
        <w:pStyle w:val="6"/>
        <w:widowControl/>
        <w:shd w:val="clear" w:color="auto" w:fill="FFFFFF"/>
        <w:spacing w:beforeAutospacing="0" w:afterAutospacing="0" w:line="23" w:lineRule="atLeast"/>
        <w:ind w:firstLine="640" w:firstLineChars="200"/>
        <w:rPr>
          <w:rFonts w:ascii="Times New Roman" w:hAnsi="Times New Roman" w:eastAsia="黑体"/>
          <w:sz w:val="32"/>
        </w:rPr>
      </w:pPr>
      <w:r>
        <w:rPr>
          <w:rFonts w:hint="eastAsia" w:ascii="Times New Roman" w:hAnsi="Times New Roman" w:eastAsia="黑体"/>
          <w:sz w:val="32"/>
        </w:rPr>
        <w:t>十、其他需说明的情况</w:t>
      </w:r>
    </w:p>
    <w:p>
      <w:pPr>
        <w:pStyle w:val="6"/>
        <w:widowControl/>
        <w:shd w:val="clear" w:color="auto" w:fill="FFFFFF"/>
        <w:spacing w:beforeAutospacing="0" w:afterAutospacing="0" w:line="23" w:lineRule="atLeast"/>
        <w:rPr>
          <w:rFonts w:ascii="Times New Roman" w:hAnsi="Times New Roman" w:eastAsia="黑体"/>
          <w:sz w:val="32"/>
        </w:rPr>
      </w:pPr>
      <w:r>
        <w:rPr>
          <w:rFonts w:hint="eastAsia" w:ascii="宋体" w:hAnsi="宋体" w:cs="宋体"/>
          <w:color w:val="4A4A4A"/>
          <w:shd w:val="clear" w:color="auto" w:fill="FFFFFF"/>
        </w:rPr>
        <w:t xml:space="preserve">　　 </w:t>
      </w:r>
      <w:r>
        <w:rPr>
          <w:rFonts w:hint="eastAsia" w:ascii="仿宋" w:hAnsi="仿宋" w:eastAsia="仿宋" w:cs="仿宋"/>
          <w:color w:val="4A4A4A"/>
          <w:sz w:val="32"/>
          <w:szCs w:val="32"/>
          <w:shd w:val="clear" w:color="auto" w:fill="FFFFFF"/>
        </w:rPr>
        <w:t>无</w:t>
      </w:r>
    </w:p>
    <w:p>
      <w:pPr>
        <w:spacing w:line="600" w:lineRule="exact"/>
        <w:rPr>
          <w:rFonts w:hint="default" w:eastAsia="黑体"/>
          <w:sz w:val="32"/>
          <w:szCs w:val="32"/>
        </w:rPr>
      </w:pPr>
      <w:r>
        <w:rPr>
          <w:rFonts w:eastAsia="黑体"/>
          <w:sz w:val="32"/>
          <w:szCs w:val="32"/>
        </w:rPr>
        <w:t xml:space="preserve">                      </w:t>
      </w:r>
    </w:p>
    <w:p>
      <w:pPr>
        <w:ind w:firstLine="5440" w:firstLineChars="1700"/>
        <w:rPr>
          <w:rFonts w:hint="default" w:ascii="仿宋" w:hAnsi="MS Gothic" w:eastAsia="MS Gothic" w:cs="MS Gothic"/>
          <w:sz w:val="32"/>
          <w:szCs w:val="32"/>
        </w:rPr>
      </w:pPr>
      <w:r>
        <w:rPr>
          <w:rFonts w:ascii="仿宋" w:hAnsi="MS Gothic" w:eastAsia="MS Gothic" w:cs="MS Gothic"/>
          <w:sz w:val="32"/>
          <w:szCs w:val="32"/>
        </w:rPr>
        <w:t>  </w:t>
      </w:r>
      <w:r>
        <w:rPr>
          <w:rFonts w:ascii="仿宋" w:hAnsi="仿宋" w:eastAsia="仿宋"/>
          <w:sz w:val="32"/>
          <w:szCs w:val="32"/>
        </w:rPr>
        <w:t>双牌县民政局</w:t>
      </w:r>
    </w:p>
    <w:p>
      <w:pPr>
        <w:ind w:firstLine="640" w:firstLineChars="200"/>
        <w:rPr>
          <w:rFonts w:hint="default" w:ascii="黑体" w:hAnsi="黑体" w:eastAsia="黑体" w:cs="黑体"/>
          <w:sz w:val="32"/>
          <w:szCs w:val="32"/>
        </w:rPr>
      </w:pPr>
      <w:r>
        <w:rPr>
          <w:rFonts w:ascii="仿宋" w:hAnsi="MS Gothic" w:eastAsia="MS Gothic" w:cs="MS Gothic"/>
          <w:sz w:val="32"/>
          <w:szCs w:val="32"/>
        </w:rPr>
        <w:t>                                </w:t>
      </w:r>
      <w:r>
        <w:rPr>
          <w:rFonts w:ascii="仿宋" w:hAnsi="仿宋" w:eastAsia="仿宋"/>
          <w:sz w:val="32"/>
          <w:szCs w:val="32"/>
        </w:rPr>
        <w:t>2024年4月10日</w:t>
      </w: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r>
        <w:rPr>
          <w:rFonts w:ascii="黑体" w:hAnsi="黑体" w:eastAsia="黑体" w:cs="黑体"/>
          <w:sz w:val="32"/>
          <w:szCs w:val="32"/>
        </w:rPr>
        <w:t>附件2</w:t>
      </w:r>
    </w:p>
    <w:p>
      <w:pPr>
        <w:spacing w:line="440" w:lineRule="exact"/>
        <w:rPr>
          <w:rFonts w:hint="default" w:ascii="黑体" w:hAnsi="黑体" w:eastAsia="黑体" w:cs="黑体"/>
          <w:sz w:val="32"/>
          <w:szCs w:val="32"/>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35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414.31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447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447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52.86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50.35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50.35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asciiTheme="minorEastAsia" w:hAnsiTheme="minorEastAsia" w:eastAsiaTheme="minorEastAsia" w:cstheme="minorEastAsia"/>
                <w:sz w:val="24"/>
              </w:rPr>
              <w:t>3.05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asciiTheme="minorEastAsia" w:hAnsiTheme="minorEastAsia" w:eastAsiaTheme="minorEastAsia" w:cstheme="minorEastAsia"/>
                <w:sz w:val="24"/>
              </w:rPr>
              <w:t>10.59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asciiTheme="minorEastAsia" w:hAnsiTheme="minorEastAsia" w:eastAsiaTheme="minorEastAsia" w:cstheme="minorEastAsia"/>
                <w:sz w:val="24"/>
              </w:rPr>
              <w:t>0.07</w:t>
            </w:r>
            <w:r>
              <w:rPr>
                <w:rFonts w:eastAsia="仿宋_GB2312"/>
                <w:color w:val="000000"/>
                <w:kern w:val="0"/>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0.83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7.3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13.24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4.61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4.61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2.82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8.63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10881.9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7943.85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7943.85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1.</w:t>
            </w:r>
            <w:r>
              <w:rPr>
                <w:rFonts w:ascii="宋体" w:hAnsi="宋体" w:eastAsia="宋体" w:cs="宋体"/>
                <w:color w:val="000000"/>
                <w:kern w:val="0"/>
                <w:sz w:val="24"/>
              </w:rPr>
              <w:t>困难群众救助资金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2944.87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2846.55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2846.55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（1）最低生活保障金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1619.62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1395.65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1395.65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（2）特困人员及临时救助供养等</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1191.17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1257.61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1257.61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（3）儿童及老年福利支出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134.08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1193.29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1193.29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2.残疾人生活和护理补贴</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312.93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333.64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333.64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3.其他及一般行政管理事务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52.59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FF0000"/>
                <w:sz w:val="24"/>
              </w:rPr>
            </w:pPr>
            <w:r>
              <w:rPr>
                <w:rFonts w:asciiTheme="minorEastAsia" w:hAnsiTheme="minorEastAsia" w:eastAsiaTheme="minorEastAsia" w:cstheme="minorEastAsia"/>
                <w:sz w:val="24"/>
              </w:rPr>
              <w:t>417.73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417.73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宋体" w:hAnsi="宋体" w:eastAsia="宋体" w:cs="宋体"/>
                <w:sz w:val="24"/>
              </w:rPr>
            </w:pPr>
            <w:r>
              <w:rPr>
                <w:rFonts w:ascii="宋体" w:hAnsi="宋体" w:eastAsia="宋体" w:cs="宋体"/>
                <w:sz w:val="24"/>
              </w:rPr>
              <w:t>4.公墓区、殡仪馆等建设项目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7571.51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FF0000"/>
                <w:sz w:val="24"/>
              </w:rPr>
            </w:pPr>
            <w:r>
              <w:rPr>
                <w:rFonts w:asciiTheme="minorEastAsia" w:hAnsiTheme="minorEastAsia" w:eastAsiaTheme="minorEastAsia" w:cstheme="minorEastAsia"/>
                <w:sz w:val="24"/>
              </w:rPr>
              <w:t>4345.93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4345.93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FF0000"/>
                <w:sz w:val="24"/>
              </w:rPr>
            </w:pPr>
            <w:r>
              <w:rPr>
                <w:rFonts w:asciiTheme="minorEastAsia" w:hAnsiTheme="minorEastAsia" w:eastAsiaTheme="minorEastAsia" w:cstheme="minorEastAsia"/>
                <w:color w:val="000000" w:themeColor="text1"/>
                <w:sz w:val="24"/>
              </w:rPr>
              <w:t>200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187.98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bl>
    <w:p>
      <w:pPr>
        <w:spacing w:line="100" w:lineRule="exact"/>
        <w:jc w:val="left"/>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pPr>
        <w:spacing w:line="100" w:lineRule="exact"/>
        <w:jc w:val="left"/>
        <w:rPr>
          <w:rFonts w:hint="default" w:asciiTheme="minorEastAsia" w:hAnsiTheme="minorEastAsia" w:eastAsiaTheme="minorEastAsia" w:cstheme="minorEastAsia"/>
          <w:sz w:val="24"/>
        </w:rPr>
      </w:pPr>
    </w:p>
    <w:p>
      <w:pPr>
        <w:spacing w:line="440" w:lineRule="exact"/>
        <w:jc w:val="left"/>
        <w:rPr>
          <w:rFonts w:hint="default" w:ascii="仿宋_GB2312" w:hAnsi="仿宋_GB2312"/>
          <w:kern w:val="0"/>
        </w:rPr>
      </w:pPr>
      <w:r>
        <w:rPr>
          <w:rFonts w:ascii="仿宋_GB2312" w:hAnsi="仿宋_GB2312"/>
          <w:kern w:val="0"/>
        </w:rPr>
        <w:t>填表人：陈淑兰   联系电话：15575302678  填报日期：202</w:t>
      </w:r>
      <w:r>
        <w:rPr>
          <w:rFonts w:ascii="仿宋_GB2312" w:hAnsi="仿宋_GB2312" w:eastAsiaTheme="minorEastAsia"/>
          <w:kern w:val="0"/>
        </w:rPr>
        <w:t>4</w:t>
      </w:r>
      <w:r>
        <w:rPr>
          <w:rFonts w:ascii="仿宋_GB2312" w:hAnsi="仿宋_GB2312"/>
          <w:kern w:val="0"/>
        </w:rPr>
        <w:t>.</w:t>
      </w:r>
      <w:r>
        <w:rPr>
          <w:rFonts w:ascii="仿宋_GB2312" w:hAnsi="仿宋_GB2312" w:eastAsiaTheme="minorEastAsia"/>
          <w:kern w:val="0"/>
        </w:rPr>
        <w:t>4</w:t>
      </w:r>
      <w:r>
        <w:rPr>
          <w:rFonts w:ascii="仿宋_GB2312" w:hAnsi="仿宋_GB2312"/>
          <w:kern w:val="0"/>
        </w:rPr>
        <w:t>.</w:t>
      </w:r>
      <w:r>
        <w:rPr>
          <w:rFonts w:ascii="仿宋_GB2312" w:hAnsi="仿宋_GB2312" w:eastAsiaTheme="minorEastAsia"/>
          <w:kern w:val="0"/>
        </w:rPr>
        <w:t>10</w:t>
      </w:r>
      <w:r>
        <w:rPr>
          <w:rFonts w:ascii="仿宋_GB2312" w:hAnsi="仿宋_GB2312"/>
          <w:kern w:val="0"/>
        </w:rPr>
        <w:t xml:space="preserve">     单位负责人签字：</w:t>
      </w:r>
    </w:p>
    <w:p>
      <w:pPr>
        <w:spacing w:line="440" w:lineRule="exact"/>
        <w:jc w:val="left"/>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pStyle w:val="2"/>
        <w:ind w:left="420"/>
        <w:rPr>
          <w:rFonts w:hint="default" w:ascii="仿宋_GB2312" w:hAnsi="仿宋_GB2312"/>
          <w:kern w:val="0"/>
        </w:rPr>
      </w:pPr>
    </w:p>
    <w:p>
      <w:pPr>
        <w:spacing w:line="440" w:lineRule="exact"/>
        <w:jc w:val="left"/>
        <w:rPr>
          <w:rFonts w:hint="default" w:eastAsia="黑体"/>
          <w:sz w:val="32"/>
        </w:rPr>
      </w:pPr>
      <w:r>
        <w:rPr>
          <w:rFonts w:ascii="黑体" w:hAnsi="黑体" w:eastAsia="黑体" w:cs="黑体"/>
          <w:sz w:val="32"/>
          <w:szCs w:val="32"/>
        </w:rPr>
        <w:t>附件3</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宋体" w:hAnsi="宋体"/>
                <w:kern w:val="0"/>
                <w:sz w:val="24"/>
              </w:rPr>
              <w:t>双牌县民政局</w:t>
            </w: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4847.09</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8390.85</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8390.85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一般公共预算：4044.92</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其中：基本支出：447.001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政府性基金拨款：4345.93</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项目支出：7943.85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筑牢民生保障底线，保障基本生活，让困难群众感受到国家的温暖，促进社会和谐进步</w:t>
            </w:r>
            <w:r>
              <w:rPr>
                <w:rFonts w:asciiTheme="minorEastAsia" w:hAnsiTheme="minorEastAsia" w:eastAsiaTheme="minorEastAsia" w:cstheme="minorEastAsia"/>
                <w:color w:val="000000"/>
                <w:sz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落实了社会救助政策，保障了民生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eastAsia="仿宋_GB2312"/>
                <w:color w:val="000000"/>
                <w:kern w:val="0"/>
              </w:rPr>
              <w:t>数量</w:t>
            </w:r>
          </w:p>
          <w:p>
            <w:pPr>
              <w:widowControl/>
              <w:jc w:val="center"/>
              <w:rPr>
                <w:rFonts w:hint="default" w:asciiTheme="minorEastAsia" w:hAnsiTheme="minorEastAsia" w:eastAsiaTheme="minorEastAsia" w:cstheme="minorEastAsia"/>
                <w:color w:val="000000"/>
                <w:sz w:val="24"/>
              </w:rPr>
            </w:pPr>
            <w:r>
              <w:rPr>
                <w:rFonts w:eastAsia="仿宋_GB2312"/>
                <w:color w:val="000000"/>
                <w:kern w:val="0"/>
              </w:rPr>
              <w:t>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困难群众救助人数应保尽保</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15128人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20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eastAsia="仿宋_GB2312"/>
                <w:color w:val="000000"/>
                <w:kern w:val="0"/>
              </w:rPr>
              <w:t>质量</w:t>
            </w:r>
          </w:p>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eastAsia="仿宋_GB2312" w:cs="Times New Roman"/>
                <w:color w:val="000000"/>
                <w:kern w:val="0"/>
              </w:rPr>
              <w:t>各项工作全面完成预期目标100%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完成率达到100%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eastAsia="仿宋_GB2312"/>
                <w:color w:val="000000"/>
                <w:kern w:val="0"/>
              </w:rPr>
              <w:t>时效</w:t>
            </w:r>
          </w:p>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eastAsia="仿宋_GB2312" w:asciiTheme="minorEastAsia" w:hAnsiTheme="minorEastAsia" w:cstheme="minorEastAsia"/>
                <w:color w:val="000000"/>
                <w:sz w:val="24"/>
              </w:rPr>
            </w:pPr>
            <w:r>
              <w:rPr>
                <w:rFonts w:eastAsia="仿宋_GB2312" w:cs="Times New Roman"/>
                <w:color w:val="000000"/>
                <w:kern w:val="0"/>
              </w:rPr>
              <w:t>各项工作在2023年1月1日至2023年12月31日完成</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完成率达到100%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eastAsia="仿宋_GB2312"/>
                <w:color w:val="000000"/>
                <w:kern w:val="0"/>
              </w:rPr>
              <w:t>成本</w:t>
            </w:r>
          </w:p>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不超过预算总成本11300万元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11295.7</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olor w:val="000000"/>
                <w:kern w:val="0"/>
              </w:rPr>
            </w:pPr>
            <w:r>
              <w:rPr>
                <w:rFonts w:eastAsia="仿宋_GB2312"/>
                <w:color w:val="000000"/>
                <w:kern w:val="0"/>
              </w:rPr>
              <w:t>经济效</w:t>
            </w:r>
          </w:p>
          <w:p>
            <w:pPr>
              <w:spacing w:line="240" w:lineRule="exact"/>
              <w:jc w:val="center"/>
              <w:rPr>
                <w:rFonts w:hint="default" w:asciiTheme="minorEastAsia" w:hAnsiTheme="minorEastAsia" w:eastAsiaTheme="minorEastAsia" w:cstheme="minorEastAsia"/>
                <w:color w:val="000000"/>
                <w:sz w:val="24"/>
              </w:rPr>
            </w:pPr>
            <w:r>
              <w:rPr>
                <w:rFonts w:eastAsia="仿宋_GB2312"/>
                <w:color w:val="000000"/>
                <w:kern w:val="0"/>
              </w:rPr>
              <w:t>益指标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pStyle w:val="6"/>
              <w:widowControl/>
              <w:shd w:val="clear" w:color="auto" w:fill="FFFFFF"/>
              <w:spacing w:beforeAutospacing="0" w:after="105" w:afterAutospacing="0" w:line="30" w:lineRule="atLeast"/>
              <w:jc w:val="both"/>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实施精准救助达100%</w:t>
            </w:r>
          </w:p>
          <w:p>
            <w:pPr>
              <w:spacing w:line="240" w:lineRule="exact"/>
              <w:jc w:val="left"/>
              <w:rPr>
                <w:rFonts w:hint="default" w:asciiTheme="minorEastAsia" w:hAnsiTheme="minorEastAsia" w:eastAsiaTheme="minorEastAsia" w:cstheme="minorEastAsia"/>
                <w:color w:val="000000"/>
                <w:sz w:val="24"/>
              </w:rPr>
            </w:pP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s="Times New Roman"/>
                <w:color w:val="000000"/>
                <w:kern w:val="0"/>
              </w:rPr>
            </w:pPr>
            <w:r>
              <w:rPr>
                <w:rFonts w:eastAsia="仿宋_GB2312" w:cs="Times New Roman"/>
                <w:color w:val="000000"/>
                <w:kern w:val="0"/>
              </w:rPr>
              <w:t>社会效</w:t>
            </w:r>
          </w:p>
          <w:p>
            <w:pPr>
              <w:widowControl/>
              <w:jc w:val="center"/>
              <w:rPr>
                <w:rFonts w:hint="default" w:eastAsia="仿宋_GB2312" w:cs="Times New Roman"/>
                <w:color w:val="000000"/>
                <w:kern w:val="0"/>
              </w:rPr>
            </w:pPr>
            <w:r>
              <w:rPr>
                <w:rFonts w:eastAsia="仿宋_GB2312" w:cs="Times New Roman"/>
                <w:color w:val="000000"/>
                <w:kern w:val="0"/>
              </w:rPr>
              <w:t>益指标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eastAsia="仿宋_GB2312" w:cs="Times New Roman"/>
                <w:color w:val="000000"/>
                <w:kern w:val="0"/>
              </w:rPr>
              <w:t>困难群众保障率100%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rPr>
                <w:rFonts w:hint="default" w:eastAsia="仿宋_GB2312" w:cs="Times New Roman"/>
                <w:color w:val="000000"/>
                <w:kern w:val="0"/>
              </w:rPr>
            </w:pPr>
            <w:r>
              <w:rPr>
                <w:rFonts w:eastAsia="仿宋_GB2312" w:cs="Times New Roman"/>
                <w:color w:val="000000"/>
                <w:kern w:val="0"/>
              </w:rPr>
              <w:t>生态效</w:t>
            </w:r>
          </w:p>
          <w:p>
            <w:pPr>
              <w:widowControl/>
              <w:jc w:val="center"/>
              <w:rPr>
                <w:rFonts w:hint="default" w:asciiTheme="minorEastAsia" w:hAnsiTheme="minorEastAsia" w:eastAsiaTheme="minorEastAsia" w:cstheme="minorEastAsia"/>
                <w:color w:val="000000"/>
                <w:sz w:val="24"/>
              </w:rPr>
            </w:pPr>
            <w:r>
              <w:rPr>
                <w:rFonts w:eastAsia="仿宋_GB2312" w:cs="Times New Roman"/>
                <w:color w:val="000000"/>
                <w:kern w:val="0"/>
              </w:rPr>
              <w:t>益指标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生态环境普及全民参与100%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s="Times New Roman"/>
                <w:color w:val="000000"/>
                <w:kern w:val="0"/>
              </w:rPr>
              <w:t>可持续影响指标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困难群众救助零上访</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eastAsia="仿宋_GB2312" w:cs="Times New Roman"/>
                <w:color w:val="000000"/>
                <w:kern w:val="0"/>
              </w:rPr>
              <w:t>服务对象满意度指标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s="Times New Roman"/>
                <w:color w:val="000000"/>
                <w:kern w:val="0"/>
              </w:rPr>
              <w:t>服务困难群众满意度100%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440" w:lineRule="exact"/>
        <w:jc w:val="left"/>
        <w:rPr>
          <w:rFonts w:hint="default" w:eastAsia="黑体"/>
          <w:color w:val="000000"/>
          <w:sz w:val="32"/>
        </w:rPr>
      </w:pPr>
      <w:r>
        <w:rPr>
          <w:rFonts w:ascii="仿宋_GB2312" w:hAnsi="仿宋_GB2312"/>
          <w:kern w:val="0"/>
        </w:rPr>
        <w:t>填表人：陈淑兰   联系电话：15575302678  填报日期：202</w:t>
      </w:r>
      <w:r>
        <w:rPr>
          <w:rFonts w:ascii="仿宋_GB2312" w:hAnsi="仿宋_GB2312" w:eastAsiaTheme="minorEastAsia"/>
          <w:kern w:val="0"/>
        </w:rPr>
        <w:t>4</w:t>
      </w:r>
      <w:r>
        <w:rPr>
          <w:rFonts w:ascii="仿宋_GB2312" w:hAnsi="仿宋_GB2312"/>
          <w:kern w:val="0"/>
        </w:rPr>
        <w:t>.</w:t>
      </w:r>
      <w:r>
        <w:rPr>
          <w:rFonts w:ascii="仿宋_GB2312" w:hAnsi="仿宋_GB2312" w:eastAsia="宋体"/>
          <w:kern w:val="0"/>
        </w:rPr>
        <w:t>4.10</w:t>
      </w:r>
      <w:r>
        <w:rPr>
          <w:rFonts w:ascii="仿宋_GB2312" w:hAnsi="仿宋_GB2312"/>
          <w:kern w:val="0"/>
        </w:rPr>
        <w:t xml:space="preserve">    单位负责人签字：</w:t>
      </w:r>
      <w:r>
        <w:rPr>
          <w:rFonts w:hint="default" w:eastAsia="仿宋_GB2312"/>
          <w:sz w:val="22"/>
        </w:rPr>
        <w:br w:type="page"/>
      </w:r>
      <w:r>
        <w:rPr>
          <w:rFonts w:ascii="黑体" w:hAnsi="黑体" w:eastAsia="黑体" w:cs="黑体"/>
          <w:color w:val="000000"/>
          <w:sz w:val="32"/>
          <w:szCs w:val="32"/>
        </w:rPr>
        <w:t>附件4（1）</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宋体" w:hAnsi="宋体" w:eastAsia="宋体" w:cs="宋体"/>
                <w:color w:val="000000"/>
                <w:kern w:val="0"/>
                <w:sz w:val="24"/>
              </w:rPr>
              <w:t>困难群众救助资金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2846.55万元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县民政局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保护弱势群体，对</w:t>
            </w:r>
            <w:r>
              <w:rPr>
                <w:rFonts w:ascii="宋体" w:hAnsi="宋体" w:eastAsia="宋体" w:cs="宋体"/>
                <w:color w:val="000000"/>
                <w:kern w:val="0"/>
                <w:sz w:val="24"/>
              </w:rPr>
              <w:t>困难群众给予救助，保障困难群众的基本生活，促进社会和谐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该项目计划使用资金2900万元，实际到位资金2846.55万元，资金使用上，严格按照上级有关规定进行相关资金使用，做到专款专用，共使用项目资金2846.55万元。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顺利完成了本年度年初确定的</w:t>
            </w:r>
            <w:r>
              <w:rPr>
                <w:rFonts w:ascii="宋体" w:hAnsi="宋体" w:eastAsia="宋体" w:cs="宋体"/>
                <w:color w:val="000000"/>
                <w:kern w:val="0"/>
                <w:sz w:val="24"/>
              </w:rPr>
              <w:t>困难群众救助资金</w:t>
            </w:r>
            <w:r>
              <w:rPr>
                <w:rFonts w:asciiTheme="minorEastAsia" w:hAnsiTheme="minorEastAsia" w:eastAsiaTheme="minorEastAsia" w:cstheme="minorEastAsia"/>
                <w:sz w:val="24"/>
              </w:rPr>
              <w:t>各项绩效目标。</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600" w:lineRule="exact"/>
        <w:jc w:val="left"/>
        <w:rPr>
          <w:rFonts w:hint="default" w:ascii="黑体" w:hAnsi="黑体" w:eastAsia="黑体" w:cs="黑体"/>
          <w:sz w:val="32"/>
          <w:szCs w:val="32"/>
        </w:rPr>
      </w:pPr>
      <w:r>
        <w:rPr>
          <w:rFonts w:ascii="仿宋_GB2312" w:hAnsi="仿宋_GB2312"/>
          <w:kern w:val="0"/>
        </w:rPr>
        <w:t>填表人：陈淑兰   联系电话：15575302678  填报日期：202</w:t>
      </w:r>
      <w:r>
        <w:rPr>
          <w:rFonts w:ascii="仿宋_GB2312" w:hAnsi="仿宋_GB2312" w:eastAsiaTheme="minorEastAsia"/>
          <w:kern w:val="0"/>
        </w:rPr>
        <w:t>4</w:t>
      </w:r>
      <w:r>
        <w:rPr>
          <w:rFonts w:ascii="仿宋_GB2312" w:hAnsi="仿宋_GB2312"/>
          <w:kern w:val="0"/>
        </w:rPr>
        <w:t>.</w:t>
      </w:r>
      <w:r>
        <w:rPr>
          <w:rFonts w:ascii="仿宋_GB2312" w:hAnsi="仿宋_GB2312" w:eastAsia="宋体"/>
          <w:kern w:val="0"/>
        </w:rPr>
        <w:t>4.10</w:t>
      </w:r>
      <w:r>
        <w:rPr>
          <w:rFonts w:ascii="仿宋_GB2312" w:hAnsi="仿宋_GB2312"/>
          <w:kern w:val="0"/>
        </w:rPr>
        <w:t xml:space="preserve">      单位负责人签字：</w:t>
      </w:r>
      <w:r>
        <w:rPr>
          <w:rFonts w:hint="default" w:eastAsia="仿宋_GB2312"/>
          <w:sz w:val="22"/>
        </w:rPr>
        <w:br w:type="page"/>
      </w:r>
      <w:r>
        <w:rPr>
          <w:rFonts w:ascii="黑体" w:hAnsi="黑体" w:eastAsia="黑体" w:cs="黑体"/>
          <w:sz w:val="32"/>
          <w:szCs w:val="32"/>
        </w:rPr>
        <w:t>附件5（1）</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110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6"/>
        <w:gridCol w:w="536"/>
        <w:gridCol w:w="296"/>
        <w:gridCol w:w="2216"/>
        <w:gridCol w:w="3101"/>
        <w:gridCol w:w="3101"/>
        <w:gridCol w:w="416"/>
        <w:gridCol w:w="536"/>
        <w:gridCol w:w="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536"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10498"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困难群众救助资金</w:t>
            </w: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536"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614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双牌县民政局</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1248"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双牌县民政局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536"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2846.55</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2846.55</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2846.55</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sz w:val="24"/>
              </w:rPr>
              <w:t>2846.55</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2846.55</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2846.55</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480" w:firstLineChars="2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536"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614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34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614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szCs w:val="21"/>
              </w:rPr>
              <w:t>保障困难群众的基本生活，促进社会和谐</w:t>
            </w:r>
            <w:r>
              <w:rPr>
                <w:rFonts w:asciiTheme="minorEastAsia" w:hAnsiTheme="minorEastAsia" w:eastAsiaTheme="minorEastAsia" w:cstheme="minorEastAsia"/>
                <w:color w:val="000000"/>
                <w:sz w:val="24"/>
              </w:rPr>
              <w:t>　</w:t>
            </w:r>
          </w:p>
        </w:tc>
        <w:tc>
          <w:tcPr>
            <w:tcW w:w="434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宋体" w:hAnsi="宋体" w:eastAsia="宋体" w:cs="宋体"/>
                <w:szCs w:val="21"/>
              </w:rPr>
              <w:t>保障了困难群众的基本生活，促进了社会和谐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536"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rPr>
              <w:t>成本指标</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rPr>
              <w:t>支出控制在预算</w:t>
            </w:r>
            <w:r>
              <w:rPr>
                <w:rFonts w:ascii="仿宋_GB2312" w:hAnsi="仿宋_GB2312" w:eastAsia="宋体"/>
                <w:color w:val="000000"/>
                <w:kern w:val="0"/>
              </w:rPr>
              <w:t>2900万元</w:t>
            </w:r>
            <w:r>
              <w:rPr>
                <w:rFonts w:ascii="仿宋_GB2312" w:hAnsi="仿宋_GB2312"/>
                <w:color w:val="000000"/>
                <w:kern w:val="0"/>
              </w:rPr>
              <w:t>内</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2846.55</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18"/>
                <w:szCs w:val="18"/>
              </w:rPr>
              <w:t>保护生态环境</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color w:val="000000"/>
                <w:sz w:val="18"/>
                <w:szCs w:val="18"/>
              </w:rPr>
              <w:t>改善了生态环境</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color w:val="000000"/>
                <w:kern w:val="0"/>
                <w:sz w:val="18"/>
                <w:szCs w:val="18"/>
              </w:rPr>
              <w:t>好</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sz w:val="18"/>
                <w:szCs w:val="18"/>
              </w:rPr>
              <w:t>困难群众救助人数应保尽保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Theme="minorEastAsia"/>
                <w:color w:val="000000"/>
                <w:kern w:val="0"/>
                <w:sz w:val="18"/>
                <w:szCs w:val="18"/>
              </w:rPr>
              <w:t>11500</w:t>
            </w:r>
            <w:r>
              <w:rPr>
                <w:rFonts w:ascii="仿宋_GB2312" w:hAnsi="仿宋_GB2312"/>
                <w:color w:val="000000"/>
                <w:kern w:val="0"/>
                <w:sz w:val="18"/>
                <w:szCs w:val="18"/>
              </w:rPr>
              <w:t>人</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Theme="minorEastAsia"/>
                <w:color w:val="000000"/>
                <w:kern w:val="0"/>
                <w:sz w:val="18"/>
                <w:szCs w:val="18"/>
              </w:rPr>
              <w:t>11519</w:t>
            </w:r>
            <w:r>
              <w:rPr>
                <w:rFonts w:ascii="仿宋_GB2312" w:hAnsi="仿宋_GB2312"/>
                <w:color w:val="000000"/>
                <w:kern w:val="0"/>
                <w:sz w:val="18"/>
                <w:szCs w:val="18"/>
              </w:rPr>
              <w:t>人</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widowControl/>
              <w:spacing w:line="300" w:lineRule="exact"/>
              <w:jc w:val="left"/>
              <w:rPr>
                <w:rFonts w:hint="default" w:eastAsia="仿宋_GB2312"/>
                <w:color w:val="000000"/>
                <w:kern w:val="0"/>
                <w:sz w:val="18"/>
                <w:szCs w:val="18"/>
              </w:rPr>
            </w:pPr>
            <w:r>
              <w:rPr>
                <w:rFonts w:asciiTheme="minorEastAsia" w:hAnsiTheme="minorEastAsia" w:eastAsiaTheme="minorEastAsia" w:cstheme="minorEastAsia"/>
                <w:color w:val="000000"/>
                <w:sz w:val="24"/>
              </w:rPr>
              <w:t>　</w:t>
            </w:r>
            <w:r>
              <w:rPr>
                <w:rFonts w:eastAsia="仿宋_GB2312"/>
                <w:color w:val="000000"/>
                <w:kern w:val="0"/>
                <w:sz w:val="18"/>
                <w:szCs w:val="18"/>
              </w:rPr>
              <w:t>县本级统计人数中包含乡镇困难群众救助人数</w:t>
            </w:r>
          </w:p>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9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sz w:val="18"/>
                <w:szCs w:val="18"/>
              </w:rPr>
              <w:t>资金到位情况</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color w:val="000000"/>
                <w:kern w:val="0"/>
                <w:sz w:val="18"/>
                <w:szCs w:val="18"/>
              </w:rPr>
              <w:t>足额拨付</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color w:val="000000"/>
                <w:kern w:val="0"/>
                <w:sz w:val="18"/>
                <w:szCs w:val="18"/>
              </w:rPr>
              <w:t>足额拨付</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53"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sz w:val="18"/>
                <w:szCs w:val="18"/>
              </w:rPr>
              <w:t>项目执行情况</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default" w:eastAsia="仿宋_GB2312"/>
                <w:color w:val="000000"/>
                <w:kern w:val="0"/>
                <w:sz w:val="18"/>
                <w:szCs w:val="18"/>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按文件要求及时拨付到位</w:t>
            </w:r>
          </w:p>
          <w:p>
            <w:pPr>
              <w:jc w:val="left"/>
              <w:rPr>
                <w:rFonts w:hint="default" w:asciiTheme="minorEastAsia" w:hAnsiTheme="minorEastAsia" w:eastAsiaTheme="minorEastAsia" w:cstheme="minorEastAsia"/>
                <w:color w:val="000000"/>
                <w:sz w:val="24"/>
              </w:rPr>
            </w:pP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default" w:eastAsia="仿宋_GB2312"/>
                <w:color w:val="000000"/>
                <w:kern w:val="0"/>
                <w:sz w:val="18"/>
                <w:szCs w:val="18"/>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按文件要求及时拨付到位</w:t>
            </w:r>
          </w:p>
          <w:p>
            <w:pPr>
              <w:jc w:val="left"/>
              <w:rPr>
                <w:rFonts w:hint="default" w:asciiTheme="minorEastAsia" w:hAnsiTheme="minorEastAsia" w:eastAsiaTheme="minorEastAsia" w:cstheme="minorEastAsia"/>
                <w:color w:val="000000"/>
                <w:sz w:val="24"/>
              </w:rPr>
            </w:pP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sz w:val="18"/>
                <w:szCs w:val="18"/>
              </w:rPr>
              <w:t>资金拨付时效</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及时到位</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及时到位</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按标准发放困难群众救助资金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按标准发放</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按标准发放</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解决困难群众的生活困难</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切实保障资金发放</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切实保障了资金发放</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29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社会公众或服务对象满意度</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color w:val="000000"/>
                <w:kern w:val="0"/>
              </w:rPr>
              <w:t>社会公众或服务对象满意度≥9</w:t>
            </w:r>
            <w:r>
              <w:rPr>
                <w:rFonts w:ascii="仿宋_GB2312" w:hAnsi="仿宋_GB2312" w:eastAsia="宋体"/>
                <w:color w:val="000000"/>
                <w:kern w:val="0"/>
              </w:rPr>
              <w:t>6</w:t>
            </w:r>
            <w:r>
              <w:rPr>
                <w:rFonts w:ascii="仿宋_GB2312" w:hAnsi="仿宋_GB2312"/>
                <w:color w:val="000000"/>
                <w:kern w:val="0"/>
              </w:rPr>
              <w:t>%</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color w:val="000000"/>
                <w:kern w:val="0"/>
              </w:rPr>
              <w:t>社会公众或服务对象满意度≥9</w:t>
            </w:r>
            <w:r>
              <w:rPr>
                <w:rFonts w:ascii="仿宋_GB2312" w:hAnsi="仿宋_GB2312" w:eastAsia="宋体"/>
                <w:color w:val="000000"/>
                <w:kern w:val="0"/>
              </w:rPr>
              <w:t>8</w:t>
            </w:r>
            <w:r>
              <w:rPr>
                <w:rFonts w:ascii="仿宋_GB2312" w:hAnsi="仿宋_GB2312"/>
                <w:color w:val="000000"/>
                <w:kern w:val="0"/>
              </w:rPr>
              <w:t>%</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2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9786"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416"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536" w:type="dxa"/>
            <w:tcBorders>
              <w:top w:val="single" w:color="auto" w:sz="6" w:space="0"/>
              <w:left w:val="single" w:color="auto" w:sz="6" w:space="0"/>
              <w:bottom w:val="single" w:color="auto" w:sz="12"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29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spacing w:line="440" w:lineRule="exact"/>
        <w:jc w:val="left"/>
        <w:rPr>
          <w:rFonts w:hint="default" w:ascii="仿宋_GB2312" w:hAnsi="仿宋_GB2312"/>
          <w:kern w:val="0"/>
        </w:rPr>
      </w:pPr>
      <w:r>
        <w:rPr>
          <w:rFonts w:ascii="仿宋_GB2312" w:hAnsi="仿宋_GB2312"/>
          <w:kern w:val="0"/>
        </w:rPr>
        <w:t>填表人：陈淑兰   联系电话：15575302678  填报日期：202</w:t>
      </w:r>
      <w:r>
        <w:rPr>
          <w:rFonts w:ascii="仿宋_GB2312" w:hAnsi="仿宋_GB2312" w:eastAsiaTheme="minorEastAsia"/>
          <w:kern w:val="0"/>
        </w:rPr>
        <w:t>4</w:t>
      </w:r>
      <w:r>
        <w:rPr>
          <w:rFonts w:ascii="仿宋_GB2312" w:hAnsi="仿宋_GB2312"/>
          <w:kern w:val="0"/>
        </w:rPr>
        <w:t>.</w:t>
      </w:r>
      <w:r>
        <w:rPr>
          <w:rFonts w:ascii="仿宋_GB2312" w:hAnsi="仿宋_GB2312" w:eastAsia="宋体"/>
          <w:kern w:val="0"/>
        </w:rPr>
        <w:t>4</w:t>
      </w:r>
      <w:r>
        <w:rPr>
          <w:rFonts w:ascii="仿宋_GB2312" w:hAnsi="仿宋_GB2312"/>
          <w:kern w:val="0"/>
        </w:rPr>
        <w:t>.1</w:t>
      </w:r>
      <w:r>
        <w:rPr>
          <w:rFonts w:ascii="仿宋_GB2312" w:hAnsi="仿宋_GB2312" w:eastAsia="宋体"/>
          <w:kern w:val="0"/>
        </w:rPr>
        <w:t>0</w:t>
      </w:r>
      <w:r>
        <w:rPr>
          <w:rFonts w:ascii="仿宋_GB2312" w:hAnsi="仿宋_GB2312"/>
          <w:kern w:val="0"/>
        </w:rPr>
        <w:t xml:space="preserve">     单位负责人签字：</w:t>
      </w: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ascii="仿宋_GB2312" w:hAnsi="仿宋_GB2312"/>
          <w:kern w:val="0"/>
        </w:rPr>
      </w:pPr>
    </w:p>
    <w:p>
      <w:pPr>
        <w:spacing w:line="440" w:lineRule="exact"/>
        <w:jc w:val="left"/>
        <w:rPr>
          <w:rFonts w:hint="default" w:eastAsia="黑体"/>
          <w:color w:val="000000"/>
          <w:sz w:val="32"/>
        </w:rPr>
      </w:pPr>
      <w:r>
        <w:rPr>
          <w:rFonts w:ascii="黑体" w:hAnsi="黑体" w:eastAsia="黑体" w:cs="黑体"/>
          <w:color w:val="000000"/>
          <w:sz w:val="32"/>
          <w:szCs w:val="32"/>
        </w:rPr>
        <w:t>附件4（2）</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eastAsia="仿宋_GB2312"/>
                <w:color w:val="000000"/>
                <w:kern w:val="0"/>
                <w:sz w:val="28"/>
                <w:szCs w:val="28"/>
              </w:rPr>
              <w:t>残疾人两项补贴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eastAsia="仿宋_GB2312"/>
                <w:color w:val="000000"/>
                <w:kern w:val="0"/>
              </w:rPr>
              <w:t>333.64</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县民政局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保护</w:t>
            </w:r>
            <w:r>
              <w:rPr>
                <w:rFonts w:eastAsia="仿宋_GB2312"/>
                <w:color w:val="000000"/>
                <w:kern w:val="0"/>
                <w:sz w:val="28"/>
                <w:szCs w:val="28"/>
              </w:rPr>
              <w:t>残疾人</w:t>
            </w:r>
            <w:r>
              <w:rPr>
                <w:rFonts w:asciiTheme="minorEastAsia" w:hAnsiTheme="minorEastAsia" w:eastAsiaTheme="minorEastAsia" w:cstheme="minorEastAsia"/>
                <w:sz w:val="24"/>
              </w:rPr>
              <w:t>，对</w:t>
            </w:r>
            <w:r>
              <w:rPr>
                <w:rFonts w:eastAsia="仿宋_GB2312"/>
                <w:color w:val="000000"/>
                <w:kern w:val="0"/>
                <w:sz w:val="28"/>
                <w:szCs w:val="28"/>
              </w:rPr>
              <w:t>残疾人</w:t>
            </w:r>
            <w:r>
              <w:rPr>
                <w:rFonts w:ascii="宋体" w:hAnsi="宋体" w:eastAsia="宋体" w:cs="宋体"/>
                <w:color w:val="000000"/>
                <w:kern w:val="0"/>
                <w:sz w:val="24"/>
              </w:rPr>
              <w:t>给予救助，保障</w:t>
            </w:r>
            <w:r>
              <w:rPr>
                <w:rFonts w:eastAsia="仿宋_GB2312"/>
                <w:color w:val="000000"/>
                <w:kern w:val="0"/>
                <w:sz w:val="28"/>
                <w:szCs w:val="28"/>
              </w:rPr>
              <w:t>残疾人</w:t>
            </w:r>
            <w:r>
              <w:rPr>
                <w:rFonts w:ascii="宋体" w:hAnsi="宋体" w:eastAsia="宋体" w:cs="宋体"/>
                <w:color w:val="000000"/>
                <w:kern w:val="0"/>
                <w:sz w:val="24"/>
              </w:rPr>
              <w:t>的基本生活，促进社会和谐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该项目计划使用资金340万元，实际到位资金</w:t>
            </w:r>
            <w:r>
              <w:rPr>
                <w:rFonts w:eastAsia="仿宋_GB2312"/>
                <w:color w:val="000000"/>
                <w:kern w:val="0"/>
              </w:rPr>
              <w:t>333.64</w:t>
            </w:r>
            <w:r>
              <w:rPr>
                <w:rFonts w:asciiTheme="minorEastAsia" w:hAnsiTheme="minorEastAsia" w:eastAsiaTheme="minorEastAsia" w:cstheme="minorEastAsia"/>
                <w:sz w:val="24"/>
              </w:rPr>
              <w:t>万元，资金使用上，严格按照上级有关规定进行相关资金使用，做到专款专用，共使用项目资金</w:t>
            </w:r>
            <w:r>
              <w:rPr>
                <w:rFonts w:eastAsia="仿宋_GB2312"/>
                <w:color w:val="000000"/>
                <w:kern w:val="0"/>
              </w:rPr>
              <w:t>333.64</w:t>
            </w:r>
            <w:r>
              <w:rPr>
                <w:rFonts w:asciiTheme="minorEastAsia" w:hAnsiTheme="minorEastAsia" w:eastAsiaTheme="minorEastAsia" w:cs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顺利完成了本年度年初确定的</w:t>
            </w:r>
            <w:r>
              <w:rPr>
                <w:rFonts w:eastAsia="仿宋_GB2312"/>
                <w:color w:val="000000"/>
                <w:kern w:val="0"/>
                <w:sz w:val="28"/>
                <w:szCs w:val="28"/>
              </w:rPr>
              <w:t>残疾人两项补贴</w:t>
            </w:r>
            <w:r>
              <w:rPr>
                <w:rFonts w:asciiTheme="minorEastAsia" w:hAnsiTheme="minorEastAsia" w:eastAsiaTheme="minorEastAsia" w:cstheme="minorEastAsia"/>
                <w:sz w:val="24"/>
              </w:rPr>
              <w:t>各项绩效目标。</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hint="default" w:ascii="黑体" w:hAnsi="黑体" w:eastAsia="黑体" w:cs="黑体"/>
          <w:sz w:val="32"/>
          <w:szCs w:val="32"/>
        </w:rPr>
      </w:pPr>
      <w:r>
        <w:rPr>
          <w:rFonts w:ascii="仿宋_GB2312" w:hAnsi="仿宋_GB2312"/>
          <w:kern w:val="0"/>
        </w:rPr>
        <w:t>填表人：陈淑兰   联系电话：15575302678  填报日期：202</w:t>
      </w:r>
      <w:r>
        <w:rPr>
          <w:rFonts w:ascii="仿宋_GB2312" w:hAnsi="仿宋_GB2312" w:eastAsiaTheme="minorEastAsia"/>
          <w:kern w:val="0"/>
        </w:rPr>
        <w:t xml:space="preserve">4 </w:t>
      </w:r>
      <w:r>
        <w:rPr>
          <w:rFonts w:ascii="仿宋_GB2312" w:hAnsi="仿宋_GB2312"/>
          <w:kern w:val="0"/>
        </w:rPr>
        <w:t>.</w:t>
      </w:r>
      <w:r>
        <w:rPr>
          <w:rFonts w:ascii="仿宋_GB2312" w:hAnsi="仿宋_GB2312" w:eastAsia="宋体"/>
          <w:kern w:val="0"/>
        </w:rPr>
        <w:t>4.10</w:t>
      </w:r>
      <w:r>
        <w:rPr>
          <w:rFonts w:ascii="仿宋_GB2312" w:hAnsi="仿宋_GB2312"/>
          <w:kern w:val="0"/>
        </w:rPr>
        <w:t xml:space="preserve">     单位负责人签字：</w:t>
      </w:r>
      <w:r>
        <w:rPr>
          <w:rFonts w:ascii="黑体" w:hAnsi="黑体" w:eastAsia="黑体" w:cs="黑体"/>
          <w:sz w:val="32"/>
          <w:szCs w:val="32"/>
        </w:rPr>
        <w:t>附件5（2）</w:t>
      </w:r>
    </w:p>
    <w:p>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2023年度项目支出绩效自评表</w:t>
      </w:r>
    </w:p>
    <w:tbl>
      <w:tblPr>
        <w:tblStyle w:val="7"/>
        <w:tblW w:w="99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6"/>
        <w:gridCol w:w="536"/>
        <w:gridCol w:w="296"/>
        <w:gridCol w:w="1136"/>
        <w:gridCol w:w="3101"/>
        <w:gridCol w:w="3101"/>
        <w:gridCol w:w="416"/>
        <w:gridCol w:w="536"/>
        <w:gridCol w:w="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536" w:type="dxa"/>
            <w:tcBorders>
              <w:top w:val="single" w:color="auto" w:sz="12" w:space="0"/>
              <w:left w:val="single" w:color="auto" w:sz="12" w:space="0"/>
              <w:bottom w:val="single" w:color="auto" w:sz="6" w:space="0"/>
              <w:right w:val="single" w:color="auto" w:sz="6" w:space="0"/>
              <w:tl2br w:val="nil"/>
              <w:tr2bl w:val="nil"/>
            </w:tcBorders>
            <w:vAlign w:val="center"/>
          </w:tcPr>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w:t>
            </w:r>
          </w:p>
          <w:p>
            <w:pPr>
              <w:spacing w:line="26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出名称</w:t>
            </w:r>
          </w:p>
        </w:tc>
        <w:tc>
          <w:tcPr>
            <w:tcW w:w="9418" w:type="dxa"/>
            <w:gridSpan w:val="8"/>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eastAsia="仿宋_GB2312"/>
                <w:color w:val="000000"/>
                <w:kern w:val="0"/>
                <w:sz w:val="28"/>
                <w:szCs w:val="28"/>
              </w:rPr>
              <w:t>残疾人两项补贴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536"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主管部门</w:t>
            </w:r>
          </w:p>
        </w:tc>
        <w:tc>
          <w:tcPr>
            <w:tcW w:w="506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双牌县民政局</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实施单位</w:t>
            </w:r>
          </w:p>
        </w:tc>
        <w:tc>
          <w:tcPr>
            <w:tcW w:w="1248" w:type="dxa"/>
            <w:gridSpan w:val="3"/>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双牌县民政局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536"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项目资金</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年初</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全年</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预算数</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执行数</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年度资金总额　</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333.64</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333.64</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333.64</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其中：当年财政拨款　</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eastAsia="仿宋_GB2312"/>
                <w:color w:val="000000"/>
                <w:kern w:val="0"/>
              </w:rPr>
              <w:t>333.64</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333.64</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eastAsia="仿宋_GB2312"/>
                <w:color w:val="000000"/>
                <w:kern w:val="0"/>
              </w:rPr>
              <w:t>333.64</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480" w:firstLineChars="2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上年结转资金　</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832" w:type="dxa"/>
            <w:gridSpan w:val="2"/>
            <w:tcBorders>
              <w:top w:val="single" w:color="auto" w:sz="6" w:space="0"/>
              <w:left w:val="single" w:color="auto" w:sz="6"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536"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506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34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5069" w:type="dxa"/>
            <w:gridSpan w:val="4"/>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szCs w:val="21"/>
              </w:rPr>
              <w:t>保障残疾人的基本生活，促进社会和谐</w:t>
            </w:r>
            <w:r>
              <w:rPr>
                <w:rFonts w:asciiTheme="minorEastAsia" w:hAnsiTheme="minorEastAsia" w:eastAsiaTheme="minorEastAsia" w:cstheme="minorEastAsia"/>
                <w:color w:val="000000"/>
                <w:sz w:val="24"/>
              </w:rPr>
              <w:t>　</w:t>
            </w:r>
          </w:p>
        </w:tc>
        <w:tc>
          <w:tcPr>
            <w:tcW w:w="4349" w:type="dxa"/>
            <w:gridSpan w:val="4"/>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宋体" w:hAnsi="宋体" w:eastAsia="宋体" w:cs="宋体"/>
                <w:szCs w:val="21"/>
              </w:rPr>
              <w:t>保障了残疾人的基本生活，促进了社会和谐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536"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指标值</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完成值</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分析及</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成本指标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经济成</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本指标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rPr>
              <w:t>成本指标</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rPr>
              <w:t>支出控制在预算</w:t>
            </w:r>
            <w:r>
              <w:rPr>
                <w:rFonts w:ascii="仿宋_GB2312" w:hAnsi="仿宋_GB2312" w:eastAsia="宋体"/>
                <w:color w:val="000000"/>
                <w:kern w:val="0"/>
              </w:rPr>
              <w:t>340万元</w:t>
            </w:r>
            <w:r>
              <w:rPr>
                <w:rFonts w:ascii="仿宋_GB2312" w:hAnsi="仿宋_GB2312"/>
                <w:color w:val="000000"/>
                <w:kern w:val="0"/>
              </w:rPr>
              <w:t>内</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sz w:val="24"/>
              </w:rPr>
              <w:t>333.64</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生态环境</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成本指标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18"/>
                <w:szCs w:val="18"/>
              </w:rPr>
              <w:t>保护生态环境</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Theme="minorEastAsia" w:hAnsiTheme="minorEastAsia" w:eastAsiaTheme="minorEastAsia" w:cstheme="minorEastAsia"/>
                <w:color w:val="000000"/>
                <w:sz w:val="18"/>
                <w:szCs w:val="18"/>
              </w:rPr>
              <w:t>改善了生态环境</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color w:val="000000"/>
                <w:kern w:val="0"/>
                <w:sz w:val="18"/>
                <w:szCs w:val="18"/>
              </w:rPr>
              <w:t>好</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产出指标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（40分）</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数量指标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宋体" w:hAnsi="宋体" w:eastAsia="宋体" w:cs="宋体"/>
                <w:szCs w:val="21"/>
              </w:rPr>
              <w:t>残疾人</w:t>
            </w:r>
            <w:r>
              <w:rPr>
                <w:rFonts w:ascii="仿宋_GB2312" w:hAnsi="仿宋_GB2312"/>
                <w:color w:val="000000"/>
                <w:kern w:val="0"/>
                <w:sz w:val="18"/>
                <w:szCs w:val="18"/>
              </w:rPr>
              <w:t>做到应保尽保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Theme="minorEastAsia"/>
                <w:color w:val="000000"/>
                <w:kern w:val="0"/>
                <w:sz w:val="18"/>
                <w:szCs w:val="18"/>
              </w:rPr>
              <w:t>36</w:t>
            </w:r>
            <w:r>
              <w:rPr>
                <w:rFonts w:ascii="仿宋_GB2312" w:hAnsi="仿宋_GB2312"/>
                <w:color w:val="000000"/>
                <w:kern w:val="0"/>
                <w:sz w:val="18"/>
                <w:szCs w:val="18"/>
              </w:rPr>
              <w:t>00人</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Theme="minorEastAsia"/>
                <w:color w:val="000000"/>
                <w:kern w:val="0"/>
                <w:sz w:val="18"/>
                <w:szCs w:val="18"/>
              </w:rPr>
              <w:t>3609</w:t>
            </w:r>
            <w:r>
              <w:rPr>
                <w:rFonts w:ascii="仿宋_GB2312" w:hAnsi="仿宋_GB2312"/>
                <w:color w:val="000000"/>
                <w:kern w:val="0"/>
                <w:sz w:val="18"/>
                <w:szCs w:val="18"/>
              </w:rPr>
              <w:t>人</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widowControl/>
              <w:spacing w:line="300" w:lineRule="exact"/>
              <w:jc w:val="left"/>
              <w:rPr>
                <w:rFonts w:hint="default" w:eastAsia="仿宋_GB2312"/>
                <w:color w:val="000000"/>
                <w:kern w:val="0"/>
                <w:sz w:val="18"/>
                <w:szCs w:val="18"/>
              </w:rPr>
            </w:pPr>
            <w:r>
              <w:rPr>
                <w:rFonts w:asciiTheme="minorEastAsia" w:hAnsiTheme="minorEastAsia" w:eastAsiaTheme="minorEastAsia" w:cstheme="minorEastAsia"/>
                <w:color w:val="000000"/>
                <w:sz w:val="24"/>
              </w:rPr>
              <w:t>　</w:t>
            </w:r>
          </w:p>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29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质量指标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color w:val="000000"/>
                <w:kern w:val="0"/>
                <w:sz w:val="18"/>
                <w:szCs w:val="18"/>
              </w:rPr>
              <w:t>资金到位情况</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color w:val="000000"/>
                <w:kern w:val="0"/>
                <w:sz w:val="18"/>
                <w:szCs w:val="18"/>
              </w:rPr>
              <w:t>足额拨付</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宋体" w:hAnsi="宋体" w:eastAsia="宋体" w:cs="宋体"/>
                <w:color w:val="000000"/>
                <w:kern w:val="0"/>
                <w:sz w:val="18"/>
                <w:szCs w:val="18"/>
              </w:rPr>
              <w:t>足额拨付</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53"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sz w:val="18"/>
                <w:szCs w:val="18"/>
              </w:rPr>
              <w:t>项目执行情况</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default" w:eastAsia="仿宋_GB2312"/>
                <w:color w:val="000000"/>
                <w:kern w:val="0"/>
                <w:sz w:val="18"/>
                <w:szCs w:val="18"/>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按文件要求及时拨付到位</w:t>
            </w:r>
          </w:p>
          <w:p>
            <w:pPr>
              <w:jc w:val="left"/>
              <w:rPr>
                <w:rFonts w:hint="default" w:asciiTheme="minorEastAsia" w:hAnsiTheme="minorEastAsia" w:eastAsiaTheme="minorEastAsia" w:cstheme="minorEastAsia"/>
                <w:color w:val="000000"/>
                <w:sz w:val="24"/>
              </w:rPr>
            </w:pP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exact"/>
              <w:jc w:val="left"/>
              <w:rPr>
                <w:rFonts w:hint="default" w:eastAsia="仿宋_GB2312"/>
                <w:color w:val="000000"/>
                <w:kern w:val="0"/>
                <w:sz w:val="18"/>
                <w:szCs w:val="18"/>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按文件要求及时拨付到位</w:t>
            </w:r>
          </w:p>
          <w:p>
            <w:pPr>
              <w:jc w:val="left"/>
              <w:rPr>
                <w:rFonts w:hint="default" w:asciiTheme="minorEastAsia" w:hAnsiTheme="minorEastAsia" w:eastAsiaTheme="minorEastAsia" w:cstheme="minorEastAsia"/>
                <w:color w:val="000000"/>
                <w:sz w:val="24"/>
              </w:rPr>
            </w:pP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时效指标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sz w:val="18"/>
                <w:szCs w:val="18"/>
              </w:rPr>
              <w:t>资金拨付时效</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及时到位</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eastAsia="宋体" w:cs="Times New Roman"/>
                <w:color w:val="000000"/>
                <w:kern w:val="0"/>
                <w:sz w:val="18"/>
                <w:szCs w:val="18"/>
              </w:rPr>
              <w:t>及时到位</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效益指标</w:t>
            </w:r>
          </w:p>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（20分）</w:t>
            </w: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经济效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按标准发放</w:t>
            </w:r>
            <w:r>
              <w:rPr>
                <w:rFonts w:ascii="宋体" w:hAnsi="宋体" w:eastAsia="宋体" w:cs="宋体"/>
                <w:szCs w:val="21"/>
              </w:rPr>
              <w:t>残疾人两项补贴</w:t>
            </w:r>
            <w:r>
              <w:rPr>
                <w:rFonts w:ascii="仿宋_GB2312" w:hAnsi="仿宋_GB2312" w:eastAsia="宋体" w:cs="Times New Roman"/>
                <w:color w:val="000000"/>
                <w:kern w:val="0"/>
              </w:rPr>
              <w:t>资金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按标准发放</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按标准发放</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kern w:val="0"/>
                <w:sz w:val="24"/>
              </w:rPr>
            </w:pPr>
            <w:r>
              <w:rPr>
                <w:rFonts w:asciiTheme="minorEastAsia" w:hAnsiTheme="minorEastAsia" w:eastAsiaTheme="minorEastAsia" w:cstheme="minorEastAsia"/>
                <w:color w:val="000000"/>
                <w:kern w:val="0"/>
                <w:sz w:val="24"/>
              </w:rPr>
              <w:t>社会效</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kern w:val="0"/>
                <w:sz w:val="24"/>
              </w:rPr>
              <w:t>益指标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解决</w:t>
            </w:r>
            <w:r>
              <w:rPr>
                <w:rFonts w:ascii="宋体" w:hAnsi="宋体" w:eastAsia="宋体" w:cs="宋体"/>
                <w:szCs w:val="21"/>
              </w:rPr>
              <w:t>残疾人</w:t>
            </w:r>
            <w:r>
              <w:rPr>
                <w:rFonts w:ascii="仿宋_GB2312" w:hAnsi="仿宋_GB2312" w:eastAsia="宋体" w:cs="Times New Roman"/>
                <w:color w:val="000000"/>
                <w:kern w:val="0"/>
              </w:rPr>
              <w:t>的生活困难</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切实保障资金发放</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切实保障了资金发放</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指标</w:t>
            </w:r>
          </w:p>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（10分）</w:t>
            </w:r>
          </w:p>
        </w:tc>
        <w:tc>
          <w:tcPr>
            <w:tcW w:w="29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服务对象满意度指标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仿宋_GB2312" w:hAnsi="仿宋_GB2312" w:eastAsia="宋体" w:cs="Times New Roman"/>
                <w:color w:val="000000"/>
                <w:kern w:val="0"/>
              </w:rPr>
              <w:t>社会公众或服务对象满意度</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color w:val="000000"/>
                <w:kern w:val="0"/>
              </w:rPr>
              <w:t>社会公众或服务对象满意度≥9</w:t>
            </w:r>
            <w:r>
              <w:rPr>
                <w:rFonts w:ascii="仿宋_GB2312" w:hAnsi="仿宋_GB2312" w:eastAsia="宋体"/>
                <w:color w:val="000000"/>
                <w:kern w:val="0"/>
              </w:rPr>
              <w:t>6</w:t>
            </w:r>
            <w:r>
              <w:rPr>
                <w:rFonts w:ascii="仿宋_GB2312" w:hAnsi="仿宋_GB2312"/>
                <w:color w:val="000000"/>
                <w:kern w:val="0"/>
              </w:rPr>
              <w:t>%</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ascii="仿宋_GB2312" w:hAnsi="仿宋_GB2312"/>
                <w:color w:val="000000"/>
                <w:kern w:val="0"/>
              </w:rPr>
              <w:t>社会公众或服务对象满意度≥9</w:t>
            </w:r>
            <w:r>
              <w:rPr>
                <w:rFonts w:ascii="仿宋_GB2312" w:hAnsi="仿宋_GB2312" w:eastAsia="宋体"/>
                <w:color w:val="000000"/>
                <w:kern w:val="0"/>
              </w:rPr>
              <w:t>8</w:t>
            </w:r>
            <w:r>
              <w:rPr>
                <w:rFonts w:ascii="仿宋_GB2312" w:hAnsi="仿宋_GB2312"/>
                <w:color w:val="000000"/>
                <w:kern w:val="0"/>
              </w:rPr>
              <w:t>%</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536"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53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296"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3101"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536"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296"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8706" w:type="dxa"/>
            <w:gridSpan w:val="6"/>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416"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536" w:type="dxa"/>
            <w:tcBorders>
              <w:top w:val="single" w:color="auto" w:sz="6" w:space="0"/>
              <w:left w:val="single" w:color="auto" w:sz="6" w:space="0"/>
              <w:bottom w:val="single" w:color="auto" w:sz="12" w:space="0"/>
              <w:right w:val="single" w:color="auto" w:sz="6"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296" w:type="dxa"/>
            <w:tcBorders>
              <w:top w:val="single" w:color="auto" w:sz="6" w:space="0"/>
              <w:left w:val="single" w:color="auto" w:sz="6" w:space="0"/>
              <w:bottom w:val="single" w:color="auto" w:sz="12" w:space="0"/>
              <w:right w:val="single" w:color="auto" w:sz="12" w:space="0"/>
              <w:tl2br w:val="nil"/>
              <w:tr2bl w:val="nil"/>
            </w:tcBorders>
            <w:vAlign w:val="center"/>
          </w:tcPr>
          <w:p>
            <w:pPr>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jc w:val="left"/>
        <w:rPr>
          <w:rFonts w:hint="default" w:asciiTheme="minorEastAsia" w:hAnsiTheme="minorEastAsia" w:eastAsiaTheme="minorEastAsia" w:cstheme="minorEastAsia"/>
          <w:sz w:val="24"/>
        </w:rPr>
      </w:pPr>
    </w:p>
    <w:p>
      <w:pPr>
        <w:spacing w:line="600" w:lineRule="exact"/>
        <w:jc w:val="left"/>
        <w:rPr>
          <w:rFonts w:hint="default" w:ascii="黑体" w:hAnsi="黑体" w:eastAsia="黑体" w:cs="黑体"/>
          <w:sz w:val="32"/>
          <w:szCs w:val="32"/>
        </w:rPr>
      </w:pPr>
      <w:r>
        <w:rPr>
          <w:rFonts w:ascii="仿宋_GB2312" w:hAnsi="仿宋_GB2312"/>
          <w:kern w:val="0"/>
        </w:rPr>
        <w:t>填表人：陈淑兰   联系电话：15575302678  填报日期：202</w:t>
      </w:r>
      <w:r>
        <w:rPr>
          <w:rFonts w:ascii="仿宋_GB2312" w:hAnsi="仿宋_GB2312" w:eastAsiaTheme="minorEastAsia"/>
          <w:kern w:val="0"/>
        </w:rPr>
        <w:t>4</w:t>
      </w:r>
      <w:r>
        <w:rPr>
          <w:rFonts w:ascii="仿宋_GB2312" w:hAnsi="仿宋_GB2312"/>
          <w:kern w:val="0"/>
        </w:rPr>
        <w:t>.</w:t>
      </w:r>
      <w:r>
        <w:rPr>
          <w:rFonts w:ascii="仿宋_GB2312" w:hAnsi="仿宋_GB2312" w:eastAsiaTheme="minorEastAsia"/>
          <w:kern w:val="0"/>
        </w:rPr>
        <w:t>4</w:t>
      </w:r>
      <w:r>
        <w:rPr>
          <w:rFonts w:ascii="仿宋_GB2312" w:hAnsi="仿宋_GB2312"/>
          <w:kern w:val="0"/>
        </w:rPr>
        <w:t>.</w:t>
      </w:r>
      <w:r>
        <w:rPr>
          <w:rFonts w:ascii="仿宋_GB2312" w:hAnsi="仿宋_GB2312" w:eastAsiaTheme="minorEastAsia"/>
          <w:kern w:val="0"/>
        </w:rPr>
        <w:t>10</w:t>
      </w:r>
      <w:r>
        <w:rPr>
          <w:rFonts w:ascii="仿宋_GB2312" w:hAnsi="仿宋_GB2312"/>
          <w:kern w:val="0"/>
        </w:rPr>
        <w:t xml:space="preserve">   单位负责人签字：</w:t>
      </w:r>
      <w:r>
        <w:rPr>
          <w:rFonts w:hint="default" w:eastAsia="仿宋_GB2312"/>
          <w:sz w:val="22"/>
        </w:rPr>
        <w:br w:type="page"/>
      </w:r>
    </w:p>
    <w:p>
      <w:pPr>
        <w:rPr>
          <w:rFonts w:hint="default"/>
        </w:rPr>
      </w:pPr>
      <w:bookmarkStart w:id="0" w:name="_GoBack"/>
      <w:bookmarkEnd w:id="0"/>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altName w:val="Meiryo UI"/>
    <w:panose1 w:val="020B0609070205080204"/>
    <w:charset w:val="80"/>
    <w:family w:val="moder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23</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BGt9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6YEa33gEAAL4DAAAOAAAAAAAA&#10;AAEAIAAAAB4BAABkcnMvZTJvRG9jLnhtbFBLBQYAAAAABgAGAFkBAABuBQ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24</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C9142"/>
    <w:multiLevelType w:val="singleLevel"/>
    <w:tmpl w:val="C71C9142"/>
    <w:lvl w:ilvl="0" w:tentative="0">
      <w:start w:val="1"/>
      <w:numFmt w:val="chineseCounting"/>
      <w:suff w:val="nothing"/>
      <w:lvlText w:val="%1、"/>
      <w:lvlJc w:val="left"/>
      <w:rPr>
        <w:rFonts w:hint="eastAsia"/>
      </w:rPr>
    </w:lvl>
  </w:abstractNum>
  <w:abstractNum w:abstractNumId="1">
    <w:nsid w:val="5AC56ADE"/>
    <w:multiLevelType w:val="singleLevel"/>
    <w:tmpl w:val="5AC56AD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ɜ卆䵇㒀ɕÆÆÆ⠤ɜ卆䵇㘜ɕÆÆ⢴ɜ卆䵇㲀ɕÆÆ⥄ɜ卆䵇㲜ɕÆÆ⧔ɜ卆䵇㲸ɕÆÆÆ卆䵇㒀ɕ䀀&amp;耀1ꀀ耀耀("/>
  </w:docVars>
  <w:rsids>
    <w:rsidRoot w:val="00172A27"/>
    <w:rsid w:val="00033D0C"/>
    <w:rsid w:val="00037983"/>
    <w:rsid w:val="000427B0"/>
    <w:rsid w:val="0004607C"/>
    <w:rsid w:val="0005674D"/>
    <w:rsid w:val="00071C5D"/>
    <w:rsid w:val="000744F1"/>
    <w:rsid w:val="00080849"/>
    <w:rsid w:val="0008646D"/>
    <w:rsid w:val="000C6E28"/>
    <w:rsid w:val="000F69C4"/>
    <w:rsid w:val="00115FA7"/>
    <w:rsid w:val="0014023B"/>
    <w:rsid w:val="0014198B"/>
    <w:rsid w:val="00172A27"/>
    <w:rsid w:val="00182EB4"/>
    <w:rsid w:val="001B0C70"/>
    <w:rsid w:val="001F36D5"/>
    <w:rsid w:val="00211E9E"/>
    <w:rsid w:val="0024197A"/>
    <w:rsid w:val="00244903"/>
    <w:rsid w:val="00250A67"/>
    <w:rsid w:val="002A00FC"/>
    <w:rsid w:val="002D71F5"/>
    <w:rsid w:val="002E2901"/>
    <w:rsid w:val="0030601C"/>
    <w:rsid w:val="00356263"/>
    <w:rsid w:val="00363F57"/>
    <w:rsid w:val="003655AE"/>
    <w:rsid w:val="003806FE"/>
    <w:rsid w:val="003C7826"/>
    <w:rsid w:val="003D62C5"/>
    <w:rsid w:val="003E73B4"/>
    <w:rsid w:val="00404ABE"/>
    <w:rsid w:val="0041609F"/>
    <w:rsid w:val="004214C0"/>
    <w:rsid w:val="00456AA3"/>
    <w:rsid w:val="00496CA7"/>
    <w:rsid w:val="004A1B5E"/>
    <w:rsid w:val="004A60C3"/>
    <w:rsid w:val="004B6827"/>
    <w:rsid w:val="004D1D69"/>
    <w:rsid w:val="004F32C4"/>
    <w:rsid w:val="00501CAC"/>
    <w:rsid w:val="00557DCF"/>
    <w:rsid w:val="00576AA7"/>
    <w:rsid w:val="005A79CF"/>
    <w:rsid w:val="005C0E25"/>
    <w:rsid w:val="005E7DCF"/>
    <w:rsid w:val="005F2BED"/>
    <w:rsid w:val="006036CA"/>
    <w:rsid w:val="00613475"/>
    <w:rsid w:val="00635FA5"/>
    <w:rsid w:val="00643CA1"/>
    <w:rsid w:val="00662772"/>
    <w:rsid w:val="00700939"/>
    <w:rsid w:val="007505AC"/>
    <w:rsid w:val="007B6AB4"/>
    <w:rsid w:val="007C326F"/>
    <w:rsid w:val="007C4CEB"/>
    <w:rsid w:val="008156FC"/>
    <w:rsid w:val="00834A19"/>
    <w:rsid w:val="008440A3"/>
    <w:rsid w:val="00847972"/>
    <w:rsid w:val="00872E0B"/>
    <w:rsid w:val="00887CE0"/>
    <w:rsid w:val="008C2B55"/>
    <w:rsid w:val="008C4A0C"/>
    <w:rsid w:val="008C6D1C"/>
    <w:rsid w:val="00914AD8"/>
    <w:rsid w:val="00951DC5"/>
    <w:rsid w:val="00964118"/>
    <w:rsid w:val="009820F0"/>
    <w:rsid w:val="0098725A"/>
    <w:rsid w:val="009D7BEC"/>
    <w:rsid w:val="00A045A9"/>
    <w:rsid w:val="00A052CD"/>
    <w:rsid w:val="00AA443C"/>
    <w:rsid w:val="00B22060"/>
    <w:rsid w:val="00B30F08"/>
    <w:rsid w:val="00B71ED3"/>
    <w:rsid w:val="00B7208C"/>
    <w:rsid w:val="00B90CF6"/>
    <w:rsid w:val="00BB41FC"/>
    <w:rsid w:val="00BB6F66"/>
    <w:rsid w:val="00BC2E31"/>
    <w:rsid w:val="00BC7271"/>
    <w:rsid w:val="00BF07AF"/>
    <w:rsid w:val="00BF1BCE"/>
    <w:rsid w:val="00C0199D"/>
    <w:rsid w:val="00C22639"/>
    <w:rsid w:val="00CA611F"/>
    <w:rsid w:val="00CC5712"/>
    <w:rsid w:val="00CD6219"/>
    <w:rsid w:val="00D161D6"/>
    <w:rsid w:val="00D469B0"/>
    <w:rsid w:val="00D60BED"/>
    <w:rsid w:val="00D86F02"/>
    <w:rsid w:val="00DE1D1D"/>
    <w:rsid w:val="00DE3870"/>
    <w:rsid w:val="00DF6CD9"/>
    <w:rsid w:val="00E00E0A"/>
    <w:rsid w:val="00E40850"/>
    <w:rsid w:val="00E658E9"/>
    <w:rsid w:val="00E7177F"/>
    <w:rsid w:val="00E87D61"/>
    <w:rsid w:val="00EA762C"/>
    <w:rsid w:val="00ED52F5"/>
    <w:rsid w:val="00EE0D1A"/>
    <w:rsid w:val="00EF6E0A"/>
    <w:rsid w:val="00F06E45"/>
    <w:rsid w:val="00F14EF8"/>
    <w:rsid w:val="00F325FE"/>
    <w:rsid w:val="00F676A6"/>
    <w:rsid w:val="00F677DE"/>
    <w:rsid w:val="00F82C42"/>
    <w:rsid w:val="00FA47BA"/>
    <w:rsid w:val="00FA4FBA"/>
    <w:rsid w:val="00FA52E8"/>
    <w:rsid w:val="00FA77C8"/>
    <w:rsid w:val="00FC3593"/>
    <w:rsid w:val="00FE44FE"/>
    <w:rsid w:val="039D2DB9"/>
    <w:rsid w:val="04637860"/>
    <w:rsid w:val="061C76EA"/>
    <w:rsid w:val="0CCE5073"/>
    <w:rsid w:val="0F880983"/>
    <w:rsid w:val="101F3C57"/>
    <w:rsid w:val="105E064F"/>
    <w:rsid w:val="14823557"/>
    <w:rsid w:val="154B3473"/>
    <w:rsid w:val="15B02F86"/>
    <w:rsid w:val="1A566226"/>
    <w:rsid w:val="1BCE59A7"/>
    <w:rsid w:val="1D5E5630"/>
    <w:rsid w:val="1DA90A2F"/>
    <w:rsid w:val="1F9C1D8C"/>
    <w:rsid w:val="20BA3D5C"/>
    <w:rsid w:val="20FE29CD"/>
    <w:rsid w:val="213827F6"/>
    <w:rsid w:val="23E66056"/>
    <w:rsid w:val="24756501"/>
    <w:rsid w:val="2AF82401"/>
    <w:rsid w:val="2EC50F99"/>
    <w:rsid w:val="2F99453F"/>
    <w:rsid w:val="31EF3498"/>
    <w:rsid w:val="33457B5A"/>
    <w:rsid w:val="33EA0D37"/>
    <w:rsid w:val="34F05A6D"/>
    <w:rsid w:val="38B42C2A"/>
    <w:rsid w:val="3B4F6742"/>
    <w:rsid w:val="3CA13373"/>
    <w:rsid w:val="3DFB432B"/>
    <w:rsid w:val="41A60F90"/>
    <w:rsid w:val="437042B4"/>
    <w:rsid w:val="43A9732D"/>
    <w:rsid w:val="43D25C86"/>
    <w:rsid w:val="47FF7E2A"/>
    <w:rsid w:val="4A7E5437"/>
    <w:rsid w:val="4ACE0AF7"/>
    <w:rsid w:val="4B490F32"/>
    <w:rsid w:val="4B564457"/>
    <w:rsid w:val="4C575977"/>
    <w:rsid w:val="4DBE5CAD"/>
    <w:rsid w:val="4DF30F3A"/>
    <w:rsid w:val="4E8B7C40"/>
    <w:rsid w:val="4F1637A4"/>
    <w:rsid w:val="500F1BD2"/>
    <w:rsid w:val="51C40746"/>
    <w:rsid w:val="543E6CC0"/>
    <w:rsid w:val="55412274"/>
    <w:rsid w:val="55C03679"/>
    <w:rsid w:val="572A7CD7"/>
    <w:rsid w:val="579932E7"/>
    <w:rsid w:val="57C446E9"/>
    <w:rsid w:val="58820FB8"/>
    <w:rsid w:val="59DC5214"/>
    <w:rsid w:val="5ABA52A9"/>
    <w:rsid w:val="5C496818"/>
    <w:rsid w:val="5C8E01AF"/>
    <w:rsid w:val="62BE6D8B"/>
    <w:rsid w:val="63CC6B4D"/>
    <w:rsid w:val="64276541"/>
    <w:rsid w:val="64AD4AE0"/>
    <w:rsid w:val="64E742EF"/>
    <w:rsid w:val="684B0AD7"/>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9">
    <w:name w:val="BodyText1I"/>
    <w:basedOn w:val="1"/>
    <w:qFormat/>
    <w:uiPriority w:val="99"/>
    <w:pPr>
      <w:snapToGrid w:val="0"/>
      <w:spacing w:line="360" w:lineRule="auto"/>
      <w:ind w:firstLine="420" w:firstLineChars="100"/>
    </w:pPr>
    <w:rPr>
      <w:sz w:val="28"/>
      <w:szCs w:val="20"/>
    </w:rPr>
  </w:style>
  <w:style w:type="paragraph" w:customStyle="1" w:styleId="10">
    <w:name w:val="列出段落1"/>
    <w:basedOn w:val="1"/>
    <w:unhideWhenUsed/>
    <w:qFormat/>
    <w:uiPriority w:val="34"/>
    <w:pPr>
      <w:ind w:firstLine="420" w:firstLineChars="200"/>
    </w:pPr>
    <w:rPr>
      <w:rFonts w:ascii="仿宋" w:hAnsi="仿宋" w:eastAsia="仿宋"/>
      <w:kern w:val="0"/>
      <w:sz w:val="28"/>
    </w:rPr>
  </w:style>
  <w:style w:type="paragraph" w:styleId="11">
    <w:name w:val="List Paragraph"/>
    <w:basedOn w:val="1"/>
    <w:unhideWhenUsed/>
    <w:qFormat/>
    <w:uiPriority w:val="99"/>
    <w:pPr>
      <w:ind w:firstLine="420" w:firstLineChars="200"/>
    </w:pPr>
    <w:rPr>
      <w:rFonts w:hint="default" w:ascii="Calibri" w:hAnsi="Calibri"/>
      <w:kern w:val="0"/>
      <w:sz w:val="28"/>
    </w:rPr>
  </w:style>
  <w:style w:type="character" w:customStyle="1" w:styleId="12">
    <w:name w:val="页眉 Char"/>
    <w:basedOn w:val="8"/>
    <w:link w:val="5"/>
    <w:qFormat/>
    <w:uiPriority w:val="0"/>
    <w:rPr>
      <w:rFonts w:eastAsia="Times New Roman"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1933</Words>
  <Characters>11022</Characters>
  <Lines>91</Lines>
  <Paragraphs>25</Paragraphs>
  <TotalTime>14</TotalTime>
  <ScaleCrop>false</ScaleCrop>
  <LinksUpToDate>false</LinksUpToDate>
  <CharactersWithSpaces>12930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2024-01-07T00:38:00Z</cp:lastPrinted>
  <dcterms:modified xsi:type="dcterms:W3CDTF">2024-12-09T13:46:37Z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