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7" w:lineRule="atLeast"/>
        <w:ind w:left="0" w:right="0"/>
        <w:jc w:val="left"/>
        <w:rPr>
          <w:rFonts w:eastAsia="黑体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1-1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" w:lineRule="atLeast"/>
        <w:ind w:left="0" w:right="0"/>
        <w:jc w:val="center"/>
        <w:rPr>
          <w:rFonts w:eastAsia="黑体"/>
          <w:kern w:val="0"/>
          <w:sz w:val="32"/>
          <w:szCs w:val="32"/>
          <w:lang w:val="en-US"/>
        </w:rPr>
      </w:pPr>
      <w:r>
        <w:rPr>
          <w:rFonts w:hint="default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 w:bidi="ar"/>
        </w:rPr>
        <w:t>2023年部门整体支出绩效目标表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" w:lineRule="atLeast"/>
        <w:ind w:left="0" w:right="0"/>
        <w:jc w:val="left"/>
        <w:rPr>
          <w:rFonts w:hint="eastAsia" w:ascii="仿宋_GB2312" w:hAnsi="仿宋_GB2312" w:eastAsia="宋体" w:cs="仿宋_GB2312"/>
          <w:kern w:val="0"/>
          <w:lang w:val="en-US"/>
        </w:rPr>
      </w:pPr>
      <w:r>
        <w:rPr>
          <w:rFonts w:hint="eastAsia" w:ascii="仿宋_GB2312" w:hAnsi="仿宋_GB2312" w:eastAsia="宋体" w:cs="仿宋_GB2312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仿宋_GB2312" w:eastAsia="宋体" w:cs="宋体"/>
          <w:kern w:val="0"/>
          <w:sz w:val="24"/>
          <w:szCs w:val="24"/>
          <w:lang w:val="en-US" w:eastAsia="zh-CN" w:bidi="ar"/>
        </w:rPr>
        <w:t>填报单位：双牌县打鼓坪乡中心幼儿园</w:t>
      </w:r>
      <w:r>
        <w:rPr>
          <w:rFonts w:hint="eastAsia" w:ascii="仿宋_GB2312" w:hAnsi="仿宋_GB2312" w:eastAsia="宋体" w:cs="仿宋_GB2312"/>
          <w:kern w:val="0"/>
          <w:sz w:val="21"/>
          <w:szCs w:val="21"/>
          <w:lang w:val="en-US" w:eastAsia="zh-CN" w:bidi="ar"/>
        </w:rPr>
        <w:tab/>
      </w:r>
    </w:p>
    <w:tbl>
      <w:tblPr>
        <w:tblStyle w:val="4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部门名称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双牌县打鼓坪乡中心幼儿园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年度预算申请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default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资金总额：85.89万元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default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其中：</w:t>
            </w:r>
            <w:r>
              <w:rPr>
                <w:rFonts w:hint="eastAsia" w:ascii="仿宋_GB2312" w:hAnsi="仿宋_GB2312" w:eastAsia="宋体" w:cs="仿宋_GB2312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一般公共预算：67.49万元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default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其中：</w:t>
            </w:r>
            <w:r>
              <w:rPr>
                <w:rFonts w:hint="eastAsia" w:ascii="仿宋_GB2312" w:hAnsi="仿宋_GB2312" w:eastAsia="宋体" w:cs="仿宋_GB2312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基本支出：64.39万元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default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仿宋_GB2312"/>
                <w:kern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政府性基金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拨款：2万元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default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仿宋_GB2312"/>
                <w:kern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项目支出：21.5万元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default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纳入专户管理的非税收入拨款：16.4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仿宋_GB2312"/>
                <w:kern w:val="0"/>
                <w:sz w:val="21"/>
                <w:szCs w:val="21"/>
                <w:lang w:val="en-US" w:eastAsia="zh-CN" w:bidi="ar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仿宋_GB2312"/>
                <w:kern w:val="0"/>
                <w:sz w:val="21"/>
                <w:szCs w:val="21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其他资金：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部门职能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职责概述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after="1" w:afterAutospacing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、全面贯彻党的教育方针，推行素质教育，加强师德师风建设，切实完成学前教育教学任务。</w:t>
            </w: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after="1" w:afterAutospacing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、努力完善幼儿园硬软件设施，巩固提高“两基”工作成果和整体水平，配合各级人民政府办好家长和社会认可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的示范性幼儿园。</w:t>
            </w: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after="1" w:afterAutospacing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、组织开展本园的教育教学科研和教育教学改革，科研兴教，科研兴园。负责对本园教育教学业务的具体管理，负责教育教学管理及教研教改工作，全力推进素质教育实施。</w:t>
            </w: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after="1" w:afterAutospacing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、按照干部和教师的职数、编制和管理权限，负责本园教师人事管理、财务管理等工作。</w:t>
            </w: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5、负责本园财务和基建管理，筹措资金，改善办学条件等工作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整体绩效目标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408" w:lineRule="atLeast"/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fill="FFFFFF"/>
              </w:rPr>
              <w:t>目标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fill="FFFFFF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fill="FFFFFF"/>
              </w:rPr>
              <w:t>：加强师德师风建设，加大教师培训力度，提高保育教育质量。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408" w:lineRule="atLeast"/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fill="FFFFFF"/>
              </w:rPr>
              <w:t>目标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fill="FFFFFF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fill="FFFFFF"/>
              </w:rPr>
              <w:t>：关注幼儿发展，对幼儿实施体、智、德、美诸方面全面发展的教育，促进其身心和谐发展。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408" w:lineRule="atLeast"/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fill="FFFFFF"/>
              </w:rPr>
              <w:t>目标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fill="FFFFFF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fill="FFFFFF"/>
              </w:rPr>
              <w:t>：将卫生保健落实到一日生活的每一个环节中；加强幼儿园安全工作，做好防火安全、食品安全等工作，确保幼儿园安全综合治理无事故；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持续抓好新冠肺炎防控联控工作。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408" w:lineRule="atLeast"/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fill="FFFFFF"/>
              </w:rPr>
              <w:t>目标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fill="FFFFFF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fill="FFFFFF"/>
              </w:rPr>
              <w:t>：开展家园互动活动，促进家园沟通。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目标5：加强园资产管理，及时添置办公教学设备设施、图书。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部门整体支出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年度绩效指标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组织教师师德培训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本年度不少于</w:t>
            </w:r>
            <w:r>
              <w:rPr>
                <w:rFonts w:hint="eastAsia" w:ascii="仿宋_GB2312" w:hAnsi="仿宋_GB2312" w:eastAsia="宋体" w:cs="仿宋_GB2312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both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开展环境创设评比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每学期一次评比，一年度不少于</w:t>
            </w:r>
            <w:r>
              <w:rPr>
                <w:rFonts w:hint="eastAsia" w:ascii="仿宋_GB2312" w:hAnsi="仿宋_GB2312" w:eastAsia="宋体" w:cs="仿宋_GB2312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开展各种主题活动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提高教师继续教育学习，年度不少于30次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按质按量完成各项教学任务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开展次数不少于</w:t>
            </w:r>
            <w:r>
              <w:rPr>
                <w:rFonts w:hint="eastAsia" w:ascii="仿宋_GB2312" w:hAnsi="仿宋_GB2312" w:eastAsia="宋体" w:cs="仿宋_GB2312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定期做好消毒工作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每日做好消毒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完善各种保健台账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严格执行各班情况登记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开展安全演练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本年度不少于</w:t>
            </w:r>
            <w:r>
              <w:rPr>
                <w:rFonts w:hint="eastAsia" w:ascii="仿宋_GB2312" w:hAnsi="仿宋_GB2312" w:eastAsia="宋体" w:cs="仿宋_GB2312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幼儿体检工作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每学年完成体检</w:t>
            </w:r>
            <w:r>
              <w:rPr>
                <w:rFonts w:hint="eastAsia" w:ascii="仿宋_GB2312" w:hAnsi="仿宋_GB2312" w:eastAsia="宋体" w:cs="仿宋_GB2312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经济效益指标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加强财务制度管理、严格内控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保障幼儿园各项工作有序开展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正常开展各项业务工作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保障幼儿在园学中玩、玩中学，达到好的效果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社会效益指标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深入教学教研工作，提高教育教学业务水平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加强各项教育学习，让幼儿充分全面发展，实现家园共育、家校合作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生态效益指标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坚持以人为本，绿色发展理念，提高幼教业务工作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绿色校园，净化师生学习和生活环境，提高各项工作的有序开展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加强园内资产管理，及时添置教学设施设备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每学期添置户外器材、教学设备，提高园本设施设备的完善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社会公众或服务对象满意度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各项工作的社会家长满意度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满意度大于等于</w:t>
            </w:r>
            <w:r>
              <w:rPr>
                <w:rFonts w:hint="eastAsia" w:ascii="仿宋_GB2312" w:hAnsi="仿宋_GB2312" w:eastAsia="宋体" w:cs="仿宋_GB2312"/>
                <w:kern w:val="0"/>
                <w:sz w:val="21"/>
                <w:szCs w:val="21"/>
                <w:lang w:val="en-US" w:eastAsia="zh-CN" w:bidi="ar"/>
              </w:rPr>
              <w:t>98%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7" w:lineRule="atLeast"/>
        <w:ind w:left="0" w:right="0"/>
        <w:jc w:val="left"/>
        <w:rPr>
          <w:rFonts w:hint="eastAsia" w:ascii="宋体" w:hAnsi="宋体" w:eastAsia="宋体" w:cs="宋体"/>
          <w:kern w:val="0"/>
          <w:lang w:val="en-US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" w:lineRule="atLeast"/>
        <w:ind w:left="0" w:right="0"/>
        <w:jc w:val="left"/>
        <w:rPr>
          <w:rFonts w:hint="default" w:ascii="宋体" w:hAnsi="宋体" w:eastAsia="宋体" w:cs="宋体"/>
          <w:kern w:val="0"/>
          <w:lang w:val="en-US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填表人：蒋晓岚  联系电话：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188****6355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填报日期：2023.3.12  单位负责人签字：邹艳丽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eastAsia="仿宋_GB2312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  <w:br w:type="page"/>
      </w:r>
      <w:r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 w:bidi="ar"/>
        </w:rPr>
        <w:t>2-1</w:t>
      </w:r>
    </w:p>
    <w:p>
      <w:pPr>
        <w:keepNext w:val="0"/>
        <w:keepLines w:val="0"/>
        <w:widowControl/>
        <w:suppressLineNumbers w:val="0"/>
        <w:spacing w:before="240" w:beforeLines="100" w:beforeAutospacing="0" w:after="240" w:afterLines="100" w:afterAutospacing="0" w:line="500" w:lineRule="exact"/>
        <w:ind w:left="0" w:right="0"/>
        <w:jc w:val="center"/>
        <w:rPr>
          <w:rFonts w:eastAsia="方正小标宋_GBK"/>
          <w:color w:val="000000"/>
          <w:kern w:val="0"/>
          <w:sz w:val="36"/>
          <w:szCs w:val="36"/>
          <w:lang w:val="en-US"/>
        </w:rPr>
      </w:pPr>
      <w:r>
        <w:rPr>
          <w:rFonts w:hint="default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2023年项目支出绩效目标表</w:t>
      </w:r>
    </w:p>
    <w:tbl>
      <w:tblPr>
        <w:tblStyle w:val="4"/>
        <w:tblW w:w="90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5"/>
        <w:gridCol w:w="1143"/>
        <w:gridCol w:w="1560"/>
        <w:gridCol w:w="955"/>
        <w:gridCol w:w="735"/>
        <w:gridCol w:w="1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20"/>
              <w:jc w:val="left"/>
              <w:rPr>
                <w:rFonts w:hint="eastAsia" w:ascii="仿宋_GB2312" w:hAnsi="仿宋" w:eastAsia="宋体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" w:eastAsia="宋体" w:cs="宋体"/>
                <w:kern w:val="0"/>
                <w:sz w:val="24"/>
                <w:szCs w:val="24"/>
                <w:lang w:val="en-US" w:eastAsia="zh-CN" w:bidi="ar"/>
              </w:rPr>
              <w:t>填报单位：双牌县打鼓坪乡中心幼儿园</w:t>
            </w:r>
            <w:r>
              <w:rPr>
                <w:rFonts w:hint="eastAsia" w:ascii="仿宋_GB2312" w:hAnsi="仿宋" w:eastAsia="宋体" w:cs="仿宋_GB2312"/>
                <w:kern w:val="0"/>
                <w:sz w:val="24"/>
                <w:szCs w:val="24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仿宋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保教保育费、幼儿伙食费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双牌县打鼓坪乡中心幼儿园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年度本级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21.5万元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2023年1月1日至12月31日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实施幼儿学前教育。研究拟订幼儿园发展规划，组织实施教育体制和办学体制改革。抓好教师队伍建设，让教师都热心投入到教育事业。做好安全防范，保证学生和教师的人生安全。积极完成上级交办的其他工作。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研究拟订幼儿园年度计划，组织实施教育体制和办学体制改革。积极开展课外活动和体育运动，开展以预防为主，防治结合的卫生保健工作，做好常见病、多发病，传染病的预防工作。抓好教师队伍建设。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绩效指标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幼儿人数、教师人数配比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教师：幼儿≥20:1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default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教师：幼儿≥20:1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"/>
              </w:rPr>
              <w:t>合理安排资金，合理使用公用经费。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≤公用经费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≤100%公用经费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shd w:val="clear" w:fill="FFFFFF"/>
                <w:lang w:val="en-US" w:eastAsia="zh-CN" w:bidi="ar"/>
              </w:rPr>
              <w:t>提高落实效率，及时完成指标任务。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≥95%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95%完成时效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增收节支，降低运行成本。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各项活动≤4万元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 w:firstLine="360" w:firstLineChars="200"/>
              <w:jc w:val="left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b/>
                <w:bCs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基本支出</w:t>
            </w:r>
            <w:r>
              <w:rPr>
                <w:rFonts w:hint="eastAsia" w:ascii="仿宋_GB2312" w:hAnsi="仿宋_GB2312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小于全年预算95%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≤95%预算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"/>
              </w:rPr>
              <w:t>提高人才培养质量，全力打造幼儿园育人品牌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开展幼儿活3场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≧3场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b/>
                <w:bCs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创建和谐的教育环境，提高保教保育质量。</w:t>
            </w:r>
            <w:r>
              <w:rPr>
                <w:rFonts w:hint="eastAsia" w:ascii="仿宋_GB2312" w:hAnsi="仿宋_GB2312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开展亲子活动2场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≧2场活动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b/>
                <w:bCs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"/>
              </w:rPr>
              <w:t>教师工作积极性高，教师专业提升。</w:t>
            </w:r>
            <w:r>
              <w:rPr>
                <w:rFonts w:hint="eastAsia" w:ascii="仿宋_GB2312" w:hAnsi="仿宋_GB2312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仿宋_GB2312" w:hAnsi="仿宋_GB2312" w:eastAsia="宋体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b/>
                <w:bCs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"/>
              </w:rPr>
              <w:t>把教育教学工作放在首位，力争使本校教育教学让学生满意、让家长满意、让社会满意。</w:t>
            </w:r>
            <w:r>
              <w:rPr>
                <w:rFonts w:hint="eastAsia" w:ascii="仿宋_GB2312" w:hAnsi="仿宋_GB2312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≥98%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80" w:firstLine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80" w:firstLineChars="10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≥98%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宋体" w:cs="仿宋_GB2312"/>
          <w:kern w:val="0"/>
          <w:lang w:val="en-US"/>
        </w:rPr>
      </w:pPr>
      <w:r>
        <w:rPr>
          <w:rFonts w:hint="eastAsia" w:ascii="仿宋_GB2312" w:hAnsi="仿宋_GB2312" w:eastAsia="宋体" w:cs="仿宋_GB2312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" w:lineRule="atLeast"/>
        <w:ind w:left="0" w:right="0"/>
        <w:jc w:val="left"/>
        <w:rPr>
          <w:rFonts w:hint="default" w:ascii="宋体" w:hAnsi="宋体" w:eastAsia="宋体" w:cs="宋体"/>
          <w:kern w:val="0"/>
          <w:lang w:val="en-US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填表人：蒋晓岚  联系电话：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188****6355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填报日期：2023.3.12  单位负责人签字：邹艳丽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eastAsia="仿宋_GB2312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eastAsia="黑体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3-1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楷体_GB2312"/>
          <w:b/>
          <w:bCs/>
          <w:kern w:val="0"/>
          <w:sz w:val="32"/>
          <w:szCs w:val="32"/>
          <w:lang w:val="en-US"/>
        </w:rPr>
      </w:pPr>
      <w:r>
        <w:rPr>
          <w:rFonts w:hint="default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 w:bidi="ar"/>
        </w:rPr>
        <w:t>2023年项目绩效目标表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宋体" w:eastAsia="宋体" w:cs="仿宋_GB2312"/>
          <w:kern w:val="0"/>
          <w:lang w:val="en-US"/>
        </w:rPr>
      </w:pPr>
      <w:r>
        <w:rPr>
          <w:rFonts w:hint="eastAsia" w:ascii="仿宋_GB2312" w:hAnsi="仿宋_GB2312" w:eastAsia="宋体" w:cs="宋体"/>
          <w:kern w:val="0"/>
          <w:sz w:val="24"/>
          <w:szCs w:val="24"/>
          <w:lang w:val="en-US" w:eastAsia="zh-CN" w:bidi="ar"/>
        </w:rPr>
        <w:t>填报单位（盖章）：双牌县打鼓坪乡中心幼儿园</w:t>
      </w:r>
      <w:r>
        <w:rPr>
          <w:rFonts w:hint="eastAsia" w:ascii="仿宋_GB2312" w:hAnsi="宋体" w:eastAsia="宋体" w:cs="仿宋_GB2312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仿宋_GB2312" w:hAnsi="宋体" w:eastAsia="宋体" w:cs="仿宋_GB2312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仿宋_GB2312" w:hAnsi="宋体" w:eastAsia="宋体" w:cs="仿宋_GB2312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仿宋_GB2312" w:hAnsi="宋体" w:eastAsia="宋体" w:cs="仿宋_GB2312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仿宋_GB2312" w:hAnsi="宋体" w:eastAsia="宋体" w:cs="仿宋_GB2312"/>
          <w:kern w:val="0"/>
          <w:sz w:val="21"/>
          <w:szCs w:val="21"/>
          <w:lang w:val="en-US" w:eastAsia="zh-CN" w:bidi="ar"/>
        </w:rPr>
        <w:tab/>
      </w:r>
    </w:p>
    <w:tbl>
      <w:tblPr>
        <w:tblStyle w:val="4"/>
        <w:tblW w:w="7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554"/>
        <w:gridCol w:w="1091"/>
        <w:gridCol w:w="1011"/>
        <w:gridCol w:w="256"/>
        <w:gridCol w:w="758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3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保教保育费、幼儿伙食费</w:t>
            </w: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项目起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止时间</w:t>
            </w:r>
          </w:p>
        </w:tc>
        <w:tc>
          <w:tcPr>
            <w:tcW w:w="2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2023年1月1日-12月31日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主管部门及其编码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双牌县打鼓坪乡中心幼儿园 101056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项目实施单位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双牌县打鼓坪乡中心幼儿园　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项目负责人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邹艳丽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182****4175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项目资金申请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宋体" w:hAnsi="宋体" w:eastAsia="宋体" w:cs="宋体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资金总额：             87.89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    一、预算资金：87.89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仿宋_GB2312"/>
                <w:kern w:val="0"/>
                <w:sz w:val="21"/>
                <w:szCs w:val="21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项目概况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实施幼儿学前教育。研究拟订幼儿园发展规划和年度计划，组织实施教育体制和办学体制改革。积极开展课外活动和体育运动，开展以预防为主，防治结合的卫生保健工作，做好常见病、多发病，传染病的预防工作。抓好教师队伍建设，让教师都热心投入到教育事业。做好安全防范，保证学生和教师的人生安全。积极完成上级交办的其他工作。</w:t>
            </w: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项目实施进度计划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项目实施内容</w:t>
            </w: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开始时间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eastAsia="仿宋_GB2312"/>
                <w:kern w:val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保障身心健康安全</w:t>
            </w: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2023.1.1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2023.12.31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eastAsia="仿宋_GB2312"/>
                <w:kern w:val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培训、教育幼儿</w:t>
            </w: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2023.1.1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2023.12.31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b/>
                <w:bCs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项目绩效目标</w:t>
            </w:r>
          </w:p>
        </w:tc>
        <w:tc>
          <w:tcPr>
            <w:tcW w:w="3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长期目标</w:t>
            </w:r>
          </w:p>
        </w:tc>
        <w:tc>
          <w:tcPr>
            <w:tcW w:w="38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实施幼儿学前教育。研究拟订幼儿园发展规划，组织实施教育体制和办学体制改革。抓好教师队伍建设，让教师都热心投入到教育事业。做好安全防范，保证学生和教师的人生安全。积极完成上级交办的其他工作。</w:t>
            </w:r>
          </w:p>
        </w:tc>
        <w:tc>
          <w:tcPr>
            <w:tcW w:w="38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研究拟订幼儿园年度计划，组织实施教育体制和办学体制改革。积极开展课外活动和体育运动，开展以预防为主，防治结合的卫生保健工作，做好常见病、多发病，传染病的预防工作。抓好教师队伍建设。</w:t>
            </w: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年度绩效指标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幼儿人数、教师人数配比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教师：幼儿≥20:1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教师：幼儿≥20:1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"/>
              </w:rPr>
              <w:t>合理安排资金，合理使用公用经费。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≤公用经费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≤100%公用经费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shd w:val="clear" w:fill="FFFFFF"/>
                <w:lang w:val="en-US" w:eastAsia="zh-CN" w:bidi="ar"/>
              </w:rPr>
              <w:t>提高落实效率，及时完成指标任务。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≥95%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95%完成时效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增收节支，降低运行成本。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各项活动≤4万元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经济效益指标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基本支出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小于全年预算95%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≤95%预算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社会效益指标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"/>
              </w:rPr>
              <w:t>提高人才培养质量，全力打造幼儿园育人品牌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开展幼儿活动5场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≧5场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生态效益指标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创建和谐的教育环境，提高保教保育质量。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开展亲子活动3场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≧3场活动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可持续影响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"/>
              </w:rPr>
              <w:t>教师工作积极性高，教师专业提升。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8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社会公众或服务对象满意度指标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"/>
              </w:rPr>
              <w:t>把教育教学工作放在首位，力争使本校教育教学让学生满意、让家长满意、让社会满意。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≥98%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其他需说明的问题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无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仿宋_GB2312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210"/>
              <w:jc w:val="right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宋体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宋体" w:cs="仿宋_GB2312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     </w:t>
            </w: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宋体" w:cs="仿宋_GB2312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宋体" w:cs="仿宋_GB2312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2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7" w:lineRule="atLeast"/>
        <w:ind w:left="0" w:right="0"/>
        <w:jc w:val="left"/>
        <w:rPr>
          <w:rFonts w:hint="default" w:ascii="宋体" w:hAnsi="宋体" w:eastAsia="宋体" w:cs="宋体"/>
          <w:kern w:val="0"/>
          <w:lang w:val="en-US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填表人：蒋晓岚  联系电话：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188****6355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填报日期：2023.3.12  单位负责人签字：邹艳丽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45FF1AF1"/>
    <w:rsid w:val="03D96739"/>
    <w:rsid w:val="0B5D0B03"/>
    <w:rsid w:val="1BF306EA"/>
    <w:rsid w:val="3E2809F9"/>
    <w:rsid w:val="45FF1AF1"/>
    <w:rsid w:val="4B845294"/>
    <w:rsid w:val="6AE12B83"/>
    <w:rsid w:val="7E83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1" w:line="27" w:lineRule="atLeast"/>
      <w:ind w:left="0" w:right="0"/>
      <w:jc w:val="left"/>
    </w:pPr>
    <w:rPr>
      <w:rFonts w:hint="default" w:ascii="Times New Roman" w:hAnsi="Times New Roman" w:eastAsia="宋体" w:cs="Times New Roman"/>
      <w:kern w:val="0"/>
      <w:sz w:val="24"/>
      <w:szCs w:val="21"/>
      <w:lang w:val="en-US" w:eastAsia="zh-CN" w:bidi="ar"/>
    </w:rPr>
  </w:style>
  <w:style w:type="character" w:customStyle="1" w:styleId="6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2686</Words>
  <Characters>2901</Characters>
  <Lines>0</Lines>
  <Paragraphs>0</Paragraphs>
  <TotalTime>3</TotalTime>
  <ScaleCrop>false</ScaleCrop>
  <LinksUpToDate>false</LinksUpToDate>
  <CharactersWithSpaces>3284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2023-09-11T14:49:00Z</dcterms:created>
  <dc:creator>岚岚岚</dc:creator>
  <cp:lastModifiedBy>Administrator</cp:lastModifiedBy>
  <dcterms:modified xsi:type="dcterms:W3CDTF">2023-12-06T02:14:58Z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EC2BA45C45CD494E972EDFAEE3E367E0_11</vt:lpwstr>
  </property>
</Properties>
</file>